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color w:val="000000"/>
          <w:kern w:val="0"/>
          <w:sz w:val="16"/>
          <w:szCs w:val="16"/>
        </w:rPr>
      </w:pPr>
      <w:r>
        <w:rPr>
          <w:rFonts w:hint="eastAsia" w:ascii="宋体" w:hAnsi="宋体" w:eastAsia="宋体" w:cs="宋体"/>
          <w:b/>
          <w:bCs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-97790</wp:posOffset>
            </wp:positionH>
            <wp:positionV relativeFrom="paragraph">
              <wp:posOffset>-314960</wp:posOffset>
            </wp:positionV>
            <wp:extent cx="1221740" cy="457200"/>
            <wp:effectExtent l="0" t="0" r="0" b="0"/>
            <wp:wrapNone/>
            <wp:docPr id="1" name="图片 1" descr="C:\Users\hanml\Desktop\截图_202109281754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hanml\Desktop\截图_2021092817544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1836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</w:rPr>
        <w:t>账户业务申请表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lang w:eastAsia="zh-CN"/>
        </w:rPr>
        <w:t>—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</w:rPr>
        <w:t>个人</w:t>
      </w:r>
    </w:p>
    <w:tbl>
      <w:tblPr>
        <w:tblStyle w:val="7"/>
        <w:tblpPr w:leftFromText="180" w:rightFromText="180" w:vertAnchor="page" w:horzAnchor="page" w:tblpX="611" w:tblpY="1533"/>
        <w:tblW w:w="1087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0"/>
        <w:gridCol w:w="1316"/>
        <w:gridCol w:w="179"/>
        <w:gridCol w:w="1563"/>
        <w:gridCol w:w="413"/>
        <w:gridCol w:w="844"/>
        <w:gridCol w:w="339"/>
        <w:gridCol w:w="898"/>
        <w:gridCol w:w="847"/>
        <w:gridCol w:w="1094"/>
        <w:gridCol w:w="148"/>
        <w:gridCol w:w="172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10876" w:type="dxa"/>
            <w:gridSpan w:val="12"/>
            <w:tcBorders>
              <w:tl2br w:val="nil"/>
              <w:tr2bl w:val="nil"/>
            </w:tcBorders>
            <w:shd w:val="clear" w:color="000000" w:fill="D1D1D1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6"/>
                <w:szCs w:val="16"/>
                <w:lang w:val="en-US" w:eastAsia="zh-CN"/>
              </w:rPr>
              <w:t>业务申请类型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876" w:type="dxa"/>
            <w:gridSpan w:val="1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spacing w:line="260" w:lineRule="exac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FF0000"/>
                <w:kern w:val="0"/>
                <w:sz w:val="16"/>
                <w:szCs w:val="16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开户  </w:t>
            </w:r>
            <w:r>
              <w:rPr>
                <w:rFonts w:hint="eastAsia" w:ascii="宋体" w:hAnsi="宋体" w:cs="宋体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基金账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 xml:space="preserve">号增开/登记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交易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 xml:space="preserve">账号增开 </w:t>
            </w:r>
            <w:r>
              <w:rPr>
                <w:rFonts w:hint="eastAsia" w:ascii="宋体" w:hAnsi="宋体" w:cs="宋体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>变更账户信息，变更内容：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u w:val="single"/>
                <w:lang w:val="en-US" w:eastAsia="zh-CN"/>
              </w:rPr>
              <w:t xml:space="preserve">                               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>其他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__________________</w:t>
            </w:r>
          </w:p>
          <w:p>
            <w:pPr>
              <w:spacing w:line="260" w:lineRule="exact"/>
              <w:rPr>
                <w:rFonts w:hint="default" w:ascii="宋体" w:hAnsi="宋体" w:eastAsia="宋体" w:cs="宋体"/>
                <w:b w:val="0"/>
                <w:bCs w:val="0"/>
                <w:kern w:val="2"/>
                <w:sz w:val="16"/>
                <w:szCs w:val="16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 xml:space="preserve"> 基金账号（新开户免填写）：                         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交易账号（新开户免填写）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：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u w:val="single"/>
                <w:lang w:val="en-US" w:eastAsia="zh-CN"/>
              </w:rPr>
              <w:t xml:space="preserve">         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876" w:type="dxa"/>
            <w:gridSpan w:val="1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ind w:firstLine="160" w:firstLineChars="100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16"/>
                <w:szCs w:val="16"/>
              </w:rPr>
              <w:t>注：办理信息变更业务，除基金账号</w:t>
            </w:r>
            <w:r>
              <w:rPr>
                <w:rFonts w:hint="eastAsia" w:ascii="宋体" w:hAnsi="宋体" w:cs="宋体"/>
                <w:b w:val="0"/>
                <w:bCs w:val="0"/>
                <w:sz w:val="16"/>
                <w:szCs w:val="16"/>
                <w:lang w:val="en-US" w:eastAsia="zh-CN"/>
              </w:rPr>
              <w:t>或交易账号</w:t>
            </w:r>
            <w:r>
              <w:rPr>
                <w:rFonts w:hint="eastAsia" w:ascii="宋体" w:hAnsi="宋体" w:eastAsia="宋体" w:cs="宋体"/>
                <w:b w:val="0"/>
                <w:bCs w:val="0"/>
                <w:sz w:val="16"/>
                <w:szCs w:val="16"/>
              </w:rPr>
              <w:t>、姓名、证件号码必填外，只需填写变更事项，并对所关联的全部注册登记机构有效。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10876" w:type="dxa"/>
            <w:gridSpan w:val="12"/>
            <w:tcBorders>
              <w:tl2br w:val="nil"/>
              <w:tr2bl w:val="nil"/>
            </w:tcBorders>
            <w:shd w:val="clear" w:color="000000" w:fill="D1D1D1"/>
            <w:noWrap/>
            <w:vAlign w:val="center"/>
          </w:tcPr>
          <w:p>
            <w:pPr>
              <w:pStyle w:val="21"/>
              <w:widowControl/>
              <w:numPr>
                <w:ilvl w:val="-1"/>
                <w:numId w:val="0"/>
              </w:numPr>
              <w:ind w:left="0" w:firstLine="0" w:firstLineChars="0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6"/>
                <w:szCs w:val="16"/>
                <w:lang w:val="en-US" w:eastAsia="zh-CN"/>
              </w:rPr>
              <w:t>个人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16"/>
                <w:szCs w:val="16"/>
              </w:rPr>
              <w:t>基本信息（新开户以下信息均为必填项）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510" w:type="dxa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姓名</w:t>
            </w:r>
          </w:p>
        </w:tc>
        <w:tc>
          <w:tcPr>
            <w:tcW w:w="3058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     </w:t>
            </w:r>
          </w:p>
        </w:tc>
        <w:tc>
          <w:tcPr>
            <w:tcW w:w="1257" w:type="dxa"/>
            <w:gridSpan w:val="2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性别</w:t>
            </w:r>
          </w:p>
        </w:tc>
        <w:tc>
          <w:tcPr>
            <w:tcW w:w="123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男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女　</w:t>
            </w:r>
          </w:p>
        </w:tc>
        <w:tc>
          <w:tcPr>
            <w:tcW w:w="1941" w:type="dxa"/>
            <w:gridSpan w:val="2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出生日期</w:t>
            </w:r>
          </w:p>
        </w:tc>
        <w:tc>
          <w:tcPr>
            <w:tcW w:w="1873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        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510" w:type="dxa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证件类型</w:t>
            </w:r>
          </w:p>
        </w:tc>
        <w:tc>
          <w:tcPr>
            <w:tcW w:w="9366" w:type="dxa"/>
            <w:gridSpan w:val="11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身份证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户口本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港澳居民来往内地通行证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台胞证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外国人永久居留证 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其他_________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510" w:type="dxa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证件号码</w:t>
            </w:r>
          </w:p>
        </w:tc>
        <w:tc>
          <w:tcPr>
            <w:tcW w:w="3058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          </w:t>
            </w:r>
          </w:p>
        </w:tc>
        <w:tc>
          <w:tcPr>
            <w:tcW w:w="1257" w:type="dxa"/>
            <w:gridSpan w:val="2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证件有效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>期</w:t>
            </w:r>
          </w:p>
        </w:tc>
        <w:tc>
          <w:tcPr>
            <w:tcW w:w="123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  <w:tc>
          <w:tcPr>
            <w:tcW w:w="1941" w:type="dxa"/>
            <w:gridSpan w:val="2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国籍</w:t>
            </w:r>
          </w:p>
        </w:tc>
        <w:tc>
          <w:tcPr>
            <w:tcW w:w="187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中国 □其他: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1510" w:type="dxa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职业</w:t>
            </w:r>
          </w:p>
        </w:tc>
        <w:tc>
          <w:tcPr>
            <w:tcW w:w="3058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sdt>
            <w:sdtP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  <w:u w:val="single"/>
                <w:lang w:val="en-US" w:eastAsia="zh-CN" w:bidi="ar-SA"/>
              </w:rPr>
              <w:id w:val="147468551"/>
              <w:placeholder>
                <w:docPart w:val="{3161eb5e-5062-48e9-8ced-9e8cfc259ea1}"/>
              </w:placeholder>
              <w:dropDownList>
                <w:listItem w:displayText="请选择" w:value="请选择"/>
                <w:listItem w:displayText="01|党政机关负责人及管理人员" w:value="01|党政机关负责人及管理人员"/>
                <w:listItem w:displayText="02|企事业单位负责人及管理人员" w:value="02|企事业单位负责人及管理人员"/>
                <w:listItem w:displayText="03|民主党派和工商联负责人及管理人员" w:value="03|民主党派和工商联负责人及管理人员"/>
                <w:listItem w:displayText="04|人民团体或群众团体负责人及管理人员" w:value="04|人民团体或群众团体负责人及管理人员"/>
                <w:listItem w:displayText="05|社会组织（社会团体、基金会、社会服务机构、外国商会等）负责人及管理人员" w:value="05|社会组织（社会团体、基金会、社会服务机构、外国商会等）负责人及管理人员"/>
                <w:listItem w:displayText="06|科学研究及教学人员" w:value="06|科学研究及教学人员"/>
                <w:listItem w:displayText="07|文学艺术、体育专业人员" w:value="07|文学艺术、体育专业人员"/>
                <w:listItem w:displayText="08|新闻出版、文化专业人员" w:value="08|新闻出版、文化专业人员"/>
                <w:listItem w:displayText="09|卫生专业技术人员" w:value="09|卫生专业技术人员"/>
                <w:listItem w:displayText="10|工程、农业专业人员" w:value="10|工程、农业专业人员"/>
                <w:listItem w:displayText="11|法律、会计、审计、税务专业人员" w:value="11|法律、会计、审计、税务专业人员"/>
                <w:listItem w:displayText="12|经济和金融专业人员" w:value="12|经济和金融专业人员"/>
                <w:listItem w:displayText="13|宗教人士等特殊职业人员" w:value="13|宗教人士等特殊职业人员"/>
                <w:listItem w:displayText="14|其他专业技术人员" w:value="14|其他专业技术人员"/>
                <w:listItem w:displayText="15|党政机关、企事业单位行政工作人员" w:value="15|党政机关、企事业单位行政工作人员"/>
                <w:listItem w:displayText="16|民主党派、工商联、人民团体或社会组织等单位工作人员" w:value="16|民主党派、工商联、人民团体或社会组织等单位工作人员"/>
                <w:listItem w:displayText="17|人民警察、消防、应急救援人员" w:value="17|人民警察、消防、应急救援人员"/>
                <w:listItem w:displayText="18|批发与零售服务人员" w:value="18|批发与零售服务人员"/>
                <w:listItem w:displayText="19|房地产服务人员" w:value="19|房地产服务人员"/>
                <w:listItem w:displayText="20|旅游、住宿和餐饮服务人员" w:value="20|旅游、住宿和餐饮服务人员"/>
                <w:listItem w:displayText="21|珠宝、黄金等贵金属行业服务人员" w:value="21|珠宝、黄金等贵金属行业服务人员"/>
                <w:listItem w:displayText="22|文化、体育和娱乐服务人员" w:value="22|文化、体育和娱乐服务人员"/>
                <w:listItem w:displayText="23|典当、拍卖行业服务人员" w:value="23|典当、拍卖行业服务人员"/>
                <w:listItem w:displayText="24|艺术品或文物收藏行业服务人员" w:value="24|艺术品或文物收藏行业服务人员"/>
                <w:listItem w:displayText="25|废品、旧货回收服务人员" w:value="25|废品、旧货回收服务人员"/>
                <w:listItem w:displayText="26|交通运输、仓储、邮政业服务人员" w:value="26|交通运输、仓储、邮政业服务人员"/>
                <w:listItem w:displayText="27|信息运输、软件和信息技术服务人员" w:value="27|信息运输、软件和信息技术服务人员"/>
                <w:listItem w:displayText="28|居民、健康服务人员" w:value="28|居民、健康服务人员"/>
                <w:listItem w:displayText="29|其他社会生产和社会服务人员" w:value="29|其他社会生产和社会服务人员"/>
                <w:listItem w:displayText="30|农、林、牧、渔业生产及辅助人员" w:value="30|农、林、牧、渔业生产及辅助人员"/>
                <w:listItem w:displayText="31|生产制造及有关人员" w:value="31|生产制造及有关人员"/>
                <w:listItem w:displayText="32|军人" w:value="32|军人"/>
                <w:listItem w:displayText="33|国际组织工作人员" w:value="33|国际组织工作人员"/>
                <w:listItem w:displayText="34|离退休人员" w:value="34|离退休人员"/>
                <w:listItem w:displayText="35|个体工商户（含淘宝店自营等）" w:value="35|个体工商户（含淘宝店自营等）"/>
                <w:listItem w:displayText="36|无业" w:value="36|无业"/>
                <w:listItem w:displayText="37|学生" w:value="37|学生"/>
              </w:dropDownList>
            </w:sdtPr>
            <w:sdtEndP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  <w:u w:val="single"/>
                <w:lang w:val="en-US" w:eastAsia="zh-CN" w:bidi="ar-SA"/>
              </w:rPr>
            </w:sdtEndPr>
            <w:sdtContent>
              <w:p>
                <w:pPr>
                  <w:widowControl/>
                  <w:jc w:val="left"/>
                  <w:rPr>
                    <w:rFonts w:hint="eastAsia" w:ascii="宋体" w:hAnsi="宋体" w:eastAsia="宋体" w:cs="宋体"/>
                    <w:b w:val="0"/>
                    <w:bCs w:val="0"/>
                    <w:kern w:val="0"/>
                    <w:sz w:val="16"/>
                    <w:szCs w:val="16"/>
                    <w:u w:val="single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b w:val="0"/>
                    <w:bCs w:val="0"/>
                    <w:kern w:val="0"/>
                    <w:sz w:val="16"/>
                    <w:szCs w:val="16"/>
                    <w:u w:val="single"/>
                    <w:lang w:val="en-US" w:eastAsia="zh-CN" w:bidi="ar-SA"/>
                  </w:rPr>
                  <w:t>请选择</w:t>
                </w:r>
              </w:p>
            </w:sdtContent>
          </w:sdt>
        </w:tc>
        <w:tc>
          <w:tcPr>
            <w:tcW w:w="125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>交易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委托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>方式</w:t>
            </w:r>
          </w:p>
        </w:tc>
        <w:tc>
          <w:tcPr>
            <w:tcW w:w="5051" w:type="dxa"/>
            <w:gridSpan w:val="6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ind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  <w:u w:val="single"/>
                <w:lang w:val="en-US" w:eastAsia="zh-CN" w:bidi="ar-SA"/>
              </w:rPr>
            </w:pPr>
            <w:sdt>
              <w:sdtPr>
                <w:rPr>
                  <w:rFonts w:hint="eastAsia" w:ascii="宋体" w:hAnsi="宋体" w:eastAsia="宋体" w:cs="宋体"/>
                  <w:bCs w:val="0"/>
                  <w:color w:val="auto"/>
                  <w:kern w:val="0"/>
                  <w:sz w:val="16"/>
                  <w:szCs w:val="16"/>
                </w:rPr>
                <w:id w:val="128130359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 w:val="0"/>
                  <w:color w:val="auto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 w:val="0"/>
                    <w:color w:val="auto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 w:val="0"/>
                <w:color w:val="auto"/>
                <w:kern w:val="0"/>
                <w:sz w:val="16"/>
                <w:szCs w:val="16"/>
                <w:lang w:val="en-US" w:eastAsia="zh-CN"/>
              </w:rPr>
              <w:t xml:space="preserve">不需要   </w:t>
            </w:r>
            <w:bookmarkStart w:id="0" w:name="OLE_LINK1"/>
            <w:sdt>
              <w:sdtPr>
                <w:rPr>
                  <w:rFonts w:hint="eastAsia" w:ascii="宋体" w:hAnsi="宋体" w:eastAsia="宋体" w:cs="宋体"/>
                  <w:bCs w:val="0"/>
                  <w:color w:val="auto"/>
                  <w:kern w:val="0"/>
                  <w:sz w:val="16"/>
                  <w:szCs w:val="16"/>
                </w:rPr>
                <w:id w:val="14747233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 w:val="0"/>
                  <w:color w:val="auto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 w:val="0"/>
                    <w:color w:val="auto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bookmarkEnd w:id="0"/>
            <w:r>
              <w:rPr>
                <w:rFonts w:hint="eastAsia" w:ascii="宋体" w:hAnsi="宋体" w:cs="宋体"/>
                <w:bCs w:val="0"/>
                <w:kern w:val="0"/>
                <w:sz w:val="16"/>
                <w:szCs w:val="16"/>
                <w:lang w:val="en-US" w:eastAsia="zh-CN"/>
              </w:rPr>
              <w:t>传真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6"/>
                <w:szCs w:val="16"/>
              </w:rPr>
              <w:t>交易</w:t>
            </w:r>
            <w:r>
              <w:rPr>
                <w:rFonts w:hint="eastAsia" w:ascii="宋体" w:hAnsi="宋体" w:cs="宋体"/>
                <w:color w:val="auto"/>
                <w:kern w:val="0"/>
                <w:sz w:val="16"/>
                <w:szCs w:val="16"/>
                <w:lang w:val="en-US" w:eastAsia="zh-CN"/>
              </w:rPr>
              <w:t xml:space="preserve">   </w:t>
            </w:r>
            <w:sdt>
              <w:sdtPr>
                <w:rPr>
                  <w:rFonts w:hint="eastAsia" w:ascii="宋体" w:hAnsi="宋体" w:eastAsia="宋体" w:cs="宋体"/>
                  <w:bCs w:val="0"/>
                  <w:color w:val="auto"/>
                  <w:kern w:val="0"/>
                  <w:sz w:val="16"/>
                  <w:szCs w:val="16"/>
                </w:rPr>
                <w:id w:val="-144676552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 w:val="0"/>
                  <w:color w:val="auto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宋体" w:hAnsi="宋体" w:eastAsia="宋体" w:cs="宋体"/>
                    <w:bCs w:val="0"/>
                    <w:color w:val="auto"/>
                    <w:kern w:val="0"/>
                    <w:sz w:val="16"/>
                    <w:szCs w:val="16"/>
                  </w:rPr>
                  <w:t>☐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0"/>
                <w:sz w:val="16"/>
                <w:szCs w:val="16"/>
              </w:rPr>
              <w:t>网上交易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1510" w:type="dxa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投资人年收入</w:t>
            </w:r>
          </w:p>
        </w:tc>
        <w:tc>
          <w:tcPr>
            <w:tcW w:w="9366" w:type="dxa"/>
            <w:gridSpan w:val="11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default" w:ascii="宋体" w:hAnsi="宋体" w:eastAsia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□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 xml:space="preserve">0～10万以下 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□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 xml:space="preserve">10万～50万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□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 xml:space="preserve">50万～100万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 xml:space="preserve">100万～500万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 xml:space="preserve">500万～1000万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□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>1000万以上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510" w:type="dxa"/>
            <w:vMerge w:val="restart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银行账户信息</w:t>
            </w:r>
          </w:p>
        </w:tc>
        <w:tc>
          <w:tcPr>
            <w:tcW w:w="1495" w:type="dxa"/>
            <w:gridSpan w:val="2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>开户银行</w:t>
            </w:r>
          </w:p>
        </w:tc>
        <w:tc>
          <w:tcPr>
            <w:tcW w:w="7871" w:type="dxa"/>
            <w:gridSpan w:val="9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　               银行　               分行　                支行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510" w:type="dxa"/>
            <w:vMerge w:val="continue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  <w:tc>
          <w:tcPr>
            <w:tcW w:w="1495" w:type="dxa"/>
            <w:gridSpan w:val="2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 银行户名</w:t>
            </w:r>
          </w:p>
        </w:tc>
        <w:tc>
          <w:tcPr>
            <w:tcW w:w="7871" w:type="dxa"/>
            <w:gridSpan w:val="9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 □ 同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>姓名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如姓名中含有生僻字，请说明：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510" w:type="dxa"/>
            <w:vMerge w:val="continue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  <w:tc>
          <w:tcPr>
            <w:tcW w:w="1495" w:type="dxa"/>
            <w:gridSpan w:val="2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 银行账号</w:t>
            </w:r>
          </w:p>
        </w:tc>
        <w:tc>
          <w:tcPr>
            <w:tcW w:w="7871" w:type="dxa"/>
            <w:gridSpan w:val="9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　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510" w:type="dxa"/>
            <w:vMerge w:val="restart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联系方式</w:t>
            </w:r>
          </w:p>
        </w:tc>
        <w:tc>
          <w:tcPr>
            <w:tcW w:w="1495" w:type="dxa"/>
            <w:gridSpan w:val="2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家庭电话</w:t>
            </w:r>
          </w:p>
        </w:tc>
        <w:tc>
          <w:tcPr>
            <w:tcW w:w="1563" w:type="dxa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手机</w:t>
            </w:r>
          </w:p>
        </w:tc>
        <w:tc>
          <w:tcPr>
            <w:tcW w:w="1257" w:type="dxa"/>
            <w:gridSpan w:val="2"/>
            <w:vMerge w:val="restart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其他联系方式</w:t>
            </w:r>
          </w:p>
        </w:tc>
        <w:tc>
          <w:tcPr>
            <w:tcW w:w="3178" w:type="dxa"/>
            <w:gridSpan w:val="4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电子邮件</w:t>
            </w:r>
          </w:p>
        </w:tc>
        <w:tc>
          <w:tcPr>
            <w:tcW w:w="1873" w:type="dxa"/>
            <w:gridSpan w:val="2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传真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>号码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510" w:type="dxa"/>
            <w:vMerge w:val="continue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  <w:tc>
          <w:tcPr>
            <w:tcW w:w="1495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               </w:t>
            </w:r>
          </w:p>
        </w:tc>
        <w:tc>
          <w:tcPr>
            <w:tcW w:w="156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　                </w:t>
            </w:r>
          </w:p>
        </w:tc>
        <w:tc>
          <w:tcPr>
            <w:tcW w:w="1257" w:type="dxa"/>
            <w:gridSpan w:val="2"/>
            <w:vMerge w:val="continue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  <w:tc>
          <w:tcPr>
            <w:tcW w:w="3178" w:type="dxa"/>
            <w:gridSpan w:val="4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               </w:t>
            </w:r>
          </w:p>
        </w:tc>
        <w:tc>
          <w:tcPr>
            <w:tcW w:w="1873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 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510" w:type="dxa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通讯地址</w:t>
            </w:r>
          </w:p>
        </w:tc>
        <w:tc>
          <w:tcPr>
            <w:tcW w:w="5552" w:type="dxa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        </w:t>
            </w:r>
          </w:p>
        </w:tc>
        <w:tc>
          <w:tcPr>
            <w:tcW w:w="1941" w:type="dxa"/>
            <w:gridSpan w:val="2"/>
            <w:tcBorders>
              <w:tl2br w:val="nil"/>
              <w:tr2bl w:val="nil"/>
            </w:tcBorders>
            <w:shd w:val="clear" w:color="auto" w:fill="D9D9D9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邮政编码</w:t>
            </w:r>
          </w:p>
        </w:tc>
        <w:tc>
          <w:tcPr>
            <w:tcW w:w="187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510" w:type="dxa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>电子对账单</w:t>
            </w:r>
          </w:p>
        </w:tc>
        <w:tc>
          <w:tcPr>
            <w:tcW w:w="3058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 xml:space="preserve">需要 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不需要</w:t>
            </w:r>
          </w:p>
        </w:tc>
        <w:tc>
          <w:tcPr>
            <w:tcW w:w="1257" w:type="dxa"/>
            <w:gridSpan w:val="2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账单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>接收邮箱</w:t>
            </w:r>
          </w:p>
        </w:tc>
        <w:tc>
          <w:tcPr>
            <w:tcW w:w="5051" w:type="dxa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510" w:type="dxa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bookmarkStart w:id="1" w:name="OLE_LINK3" w:colFirst="0" w:colLast="2"/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是否符合专业投资者条件</w:t>
            </w:r>
          </w:p>
        </w:tc>
        <w:tc>
          <w:tcPr>
            <w:tcW w:w="7493" w:type="dxa"/>
            <w:gridSpan w:val="9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1、金融资产不低于500万元人民币，或者最近3年个人年均收入不低于50万元人民币。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2、具有2年以上证券、基金、期货、黄金、外汇等投资经历，或者具有2年以上金融产品设计、投资、风险管理及相关工作经历的自然人投资者，或者属于《证券期货投资者适当性管理办法》第八条第（一）款所规定的专业投资者的高级管理人员、获得职业资格认证的从事金融相关业务的注册会计师和律师。</w:t>
            </w:r>
          </w:p>
        </w:tc>
        <w:tc>
          <w:tcPr>
            <w:tcW w:w="187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ind w:firstLine="160" w:firstLineChars="100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bookmarkStart w:id="2" w:name="OLE_LINK5"/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是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否</w:t>
            </w:r>
            <w:bookmarkEnd w:id="2"/>
          </w:p>
        </w:tc>
      </w:tr>
      <w:bookmarkEnd w:id="1"/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1510" w:type="dxa"/>
            <w:vMerge w:val="restart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>是否符合合格投资者条件</w:t>
            </w:r>
          </w:p>
        </w:tc>
        <w:tc>
          <w:tcPr>
            <w:tcW w:w="13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>资产管理计划</w:t>
            </w:r>
          </w:p>
        </w:tc>
        <w:tc>
          <w:tcPr>
            <w:tcW w:w="6177" w:type="dxa"/>
            <w:gridSpan w:val="8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16"/>
                <w:szCs w:val="16"/>
              </w:rPr>
              <w:t>具有2年以上投资经历，且满足下列三项条件之一的自然人：家庭金融净资产不低于300万元，</w:t>
            </w:r>
            <w:bookmarkStart w:id="3" w:name="OLE_LINK6"/>
            <w:r>
              <w:rPr>
                <w:rFonts w:hint="eastAsia" w:ascii="宋体" w:hAnsi="宋体" w:cs="宋体"/>
                <w:kern w:val="0"/>
                <w:sz w:val="16"/>
                <w:szCs w:val="16"/>
              </w:rPr>
              <w:t>家庭金融资产不低于500万元，或者近3年本人年均收</w:t>
            </w:r>
            <w:r>
              <w:rPr>
                <w:rFonts w:hint="eastAsia" w:ascii="宋体" w:hAnsi="宋体" w:cs="宋体"/>
                <w:kern w:val="0"/>
                <w:sz w:val="16"/>
                <w:szCs w:val="16"/>
                <w:highlight w:val="none"/>
              </w:rPr>
              <w:t>入不低于40万元</w:t>
            </w:r>
            <w:bookmarkEnd w:id="3"/>
            <w:r>
              <w:rPr>
                <w:rFonts w:hint="eastAsia" w:ascii="宋体" w:hAnsi="宋体" w:cs="宋体"/>
                <w:kern w:val="0"/>
                <w:sz w:val="16"/>
                <w:szCs w:val="16"/>
                <w:highlight w:val="none"/>
                <w:lang w:val="en-US" w:eastAsia="zh-CN"/>
              </w:rPr>
              <w:t>。</w:t>
            </w:r>
          </w:p>
        </w:tc>
        <w:tc>
          <w:tcPr>
            <w:tcW w:w="187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ind w:firstLine="160" w:firstLineChars="100"/>
              <w:jc w:val="left"/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是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510" w:type="dxa"/>
            <w:vMerge w:val="continue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</w:pPr>
          </w:p>
        </w:tc>
        <w:tc>
          <w:tcPr>
            <w:tcW w:w="13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>私募基金</w:t>
            </w:r>
          </w:p>
        </w:tc>
        <w:tc>
          <w:tcPr>
            <w:tcW w:w="6177" w:type="dxa"/>
            <w:gridSpan w:val="8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16"/>
                <w:szCs w:val="16"/>
              </w:rPr>
              <w:t>金融资产不低于</w:t>
            </w:r>
            <w:r>
              <w:rPr>
                <w:rFonts w:hint="eastAsia" w:ascii="宋体" w:hAnsi="宋体" w:cs="宋体"/>
                <w:kern w:val="0"/>
                <w:sz w:val="16"/>
                <w:szCs w:val="16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kern w:val="0"/>
                <w:sz w:val="16"/>
                <w:szCs w:val="16"/>
              </w:rPr>
              <w:t>00万元，或者</w:t>
            </w:r>
            <w:r>
              <w:rPr>
                <w:rFonts w:hint="eastAsia" w:ascii="宋体" w:hAnsi="宋体" w:cs="宋体"/>
                <w:kern w:val="0"/>
                <w:sz w:val="16"/>
                <w:szCs w:val="16"/>
                <w:lang w:val="en-US" w:eastAsia="zh-CN"/>
              </w:rPr>
              <w:t>最</w:t>
            </w:r>
            <w:r>
              <w:rPr>
                <w:rFonts w:hint="eastAsia" w:ascii="宋体" w:hAnsi="宋体" w:cs="宋体"/>
                <w:kern w:val="0"/>
                <w:sz w:val="16"/>
                <w:szCs w:val="16"/>
              </w:rPr>
              <w:t>近3年</w:t>
            </w:r>
            <w:r>
              <w:rPr>
                <w:rFonts w:hint="eastAsia" w:ascii="宋体" w:hAnsi="宋体" w:cs="宋体"/>
                <w:kern w:val="0"/>
                <w:sz w:val="16"/>
                <w:szCs w:val="16"/>
                <w:lang w:val="en-US" w:eastAsia="zh-CN"/>
              </w:rPr>
              <w:t>个人</w:t>
            </w:r>
            <w:r>
              <w:rPr>
                <w:rFonts w:hint="eastAsia" w:ascii="宋体" w:hAnsi="宋体" w:cs="宋体"/>
                <w:kern w:val="0"/>
                <w:sz w:val="16"/>
                <w:szCs w:val="16"/>
              </w:rPr>
              <w:t>年均收入</w:t>
            </w:r>
            <w:r>
              <w:rPr>
                <w:rFonts w:hint="eastAsia" w:ascii="宋体" w:hAnsi="宋体" w:cs="宋体"/>
                <w:kern w:val="0"/>
                <w:sz w:val="16"/>
                <w:szCs w:val="16"/>
                <w:highlight w:val="none"/>
              </w:rPr>
              <w:t>不低于</w:t>
            </w:r>
            <w:r>
              <w:rPr>
                <w:rFonts w:hint="eastAsia" w:ascii="宋体" w:hAnsi="宋体" w:cs="宋体"/>
                <w:kern w:val="0"/>
                <w:sz w:val="16"/>
                <w:szCs w:val="16"/>
                <w:highlight w:val="none"/>
                <w:lang w:val="en-US" w:eastAsia="zh-CN"/>
              </w:rPr>
              <w:t>50</w:t>
            </w:r>
            <w:r>
              <w:rPr>
                <w:rFonts w:hint="eastAsia" w:ascii="宋体" w:hAnsi="宋体" w:cs="宋体"/>
                <w:kern w:val="0"/>
                <w:sz w:val="16"/>
                <w:szCs w:val="16"/>
                <w:highlight w:val="none"/>
              </w:rPr>
              <w:t>万元</w:t>
            </w:r>
            <w:r>
              <w:rPr>
                <w:rFonts w:hint="eastAsia" w:ascii="宋体" w:hAnsi="宋体" w:cs="宋体"/>
                <w:kern w:val="0"/>
                <w:sz w:val="16"/>
                <w:szCs w:val="16"/>
                <w:highlight w:val="none"/>
                <w:lang w:eastAsia="zh-CN"/>
              </w:rPr>
              <w:t>。</w:t>
            </w:r>
          </w:p>
        </w:tc>
        <w:tc>
          <w:tcPr>
            <w:tcW w:w="187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ind w:firstLine="160" w:firstLineChars="100"/>
              <w:jc w:val="left"/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是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510" w:type="dxa"/>
            <w:vMerge w:val="restart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16"/>
                <w:szCs w:val="16"/>
              </w:rPr>
              <w:t>实际控制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16"/>
                <w:szCs w:val="16"/>
                <w:lang w:val="en-US" w:eastAsia="zh-CN"/>
              </w:rPr>
              <w:t>人类型</w:t>
            </w:r>
          </w:p>
        </w:tc>
        <w:tc>
          <w:tcPr>
            <w:tcW w:w="9366" w:type="dxa"/>
            <w:gridSpan w:val="11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widowControl/>
              <w:ind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kern w:val="0"/>
                <w:sz w:val="16"/>
                <w:szCs w:val="16"/>
                <w:u w:val="single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cs="宋体"/>
                <w:b w:val="0"/>
                <w:color w:val="000000"/>
                <w:kern w:val="0"/>
                <w:sz w:val="16"/>
                <w:szCs w:val="16"/>
                <w:lang w:val="en-US" w:eastAsia="zh-CN"/>
              </w:rPr>
              <w:t>本人</w:t>
            </w:r>
            <w:r>
              <w:rPr>
                <w:rFonts w:hint="eastAsia" w:ascii="宋体" w:hAnsi="宋体" w:cs="宋体"/>
                <w:b w:val="0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color w:val="000000"/>
                <w:kern w:val="0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cs="宋体"/>
                <w:b w:val="0"/>
                <w:color w:val="000000"/>
                <w:kern w:val="0"/>
                <w:sz w:val="16"/>
                <w:szCs w:val="16"/>
                <w:lang w:val="en-US" w:eastAsia="zh-CN"/>
              </w:rPr>
              <w:t>他人，</w:t>
            </w:r>
            <w:r>
              <w:rPr>
                <w:rFonts w:hint="eastAsia" w:ascii="宋体" w:hAnsi="宋体" w:cs="宋体"/>
                <w:b w:val="0"/>
                <w:color w:val="000000"/>
                <w:kern w:val="0"/>
                <w:sz w:val="16"/>
                <w:szCs w:val="16"/>
              </w:rPr>
              <w:t>请</w:t>
            </w:r>
            <w:r>
              <w:rPr>
                <w:rFonts w:hint="eastAsia" w:ascii="宋体" w:hAnsi="宋体" w:cs="宋体"/>
                <w:b w:val="0"/>
                <w:color w:val="000000"/>
                <w:kern w:val="0"/>
                <w:sz w:val="16"/>
                <w:szCs w:val="16"/>
                <w:lang w:val="en-US" w:eastAsia="zh-CN"/>
              </w:rPr>
              <w:t>继续</w:t>
            </w:r>
            <w:r>
              <w:rPr>
                <w:rFonts w:hint="eastAsia" w:ascii="宋体" w:hAnsi="宋体" w:cs="宋体"/>
                <w:b w:val="0"/>
                <w:color w:val="000000"/>
                <w:kern w:val="0"/>
                <w:sz w:val="16"/>
                <w:szCs w:val="16"/>
              </w:rPr>
              <w:t>填写下方实际控制投资者的自然人，并说明取得实际控制关系的方式或途径：</w:t>
            </w:r>
            <w:r>
              <w:rPr>
                <w:rFonts w:hint="eastAsia" w:ascii="宋体" w:hAnsi="宋体" w:cs="宋体"/>
                <w:b w:val="0"/>
                <w:color w:val="000000"/>
                <w:kern w:val="0"/>
                <w:sz w:val="16"/>
                <w:szCs w:val="16"/>
                <w:u w:val="single"/>
                <w:lang w:val="en-US" w:eastAsia="zh-CN"/>
              </w:rPr>
              <w:t xml:space="preserve">             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510" w:type="dxa"/>
            <w:vMerge w:val="continue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  <w:tc>
          <w:tcPr>
            <w:tcW w:w="1495" w:type="dxa"/>
            <w:gridSpan w:val="2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姓名</w:t>
            </w:r>
          </w:p>
        </w:tc>
        <w:tc>
          <w:tcPr>
            <w:tcW w:w="2820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  <w:tc>
          <w:tcPr>
            <w:tcW w:w="1237" w:type="dxa"/>
            <w:gridSpan w:val="2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证件类型</w:t>
            </w:r>
          </w:p>
        </w:tc>
        <w:tc>
          <w:tcPr>
            <w:tcW w:w="3814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ind w:firstLine="160" w:firstLineChars="100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            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510" w:type="dxa"/>
            <w:vMerge w:val="continue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  <w:tc>
          <w:tcPr>
            <w:tcW w:w="1495" w:type="dxa"/>
            <w:gridSpan w:val="2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证件号码</w:t>
            </w:r>
          </w:p>
        </w:tc>
        <w:tc>
          <w:tcPr>
            <w:tcW w:w="2820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  <w:tc>
          <w:tcPr>
            <w:tcW w:w="1237" w:type="dxa"/>
            <w:gridSpan w:val="2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证件有效期</w:t>
            </w:r>
          </w:p>
        </w:tc>
        <w:tc>
          <w:tcPr>
            <w:tcW w:w="3814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ind w:firstLine="160" w:firstLineChars="100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            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510" w:type="dxa"/>
            <w:vMerge w:val="restart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实际受益人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>类型</w:t>
            </w:r>
          </w:p>
        </w:tc>
        <w:tc>
          <w:tcPr>
            <w:tcW w:w="9366" w:type="dxa"/>
            <w:gridSpan w:val="11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本人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他人，请继续填写以下信息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，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>与本人关系：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510" w:type="dxa"/>
            <w:vMerge w:val="continue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  <w:tc>
          <w:tcPr>
            <w:tcW w:w="1495" w:type="dxa"/>
            <w:gridSpan w:val="2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姓名</w:t>
            </w:r>
          </w:p>
        </w:tc>
        <w:tc>
          <w:tcPr>
            <w:tcW w:w="2820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  <w:tc>
          <w:tcPr>
            <w:tcW w:w="1237" w:type="dxa"/>
            <w:gridSpan w:val="2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证件类型</w:t>
            </w:r>
          </w:p>
        </w:tc>
        <w:tc>
          <w:tcPr>
            <w:tcW w:w="3814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ind w:firstLine="160" w:firstLineChars="100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510" w:type="dxa"/>
            <w:vMerge w:val="continue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  <w:tc>
          <w:tcPr>
            <w:tcW w:w="1495" w:type="dxa"/>
            <w:gridSpan w:val="2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证件号码</w:t>
            </w:r>
          </w:p>
        </w:tc>
        <w:tc>
          <w:tcPr>
            <w:tcW w:w="2820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  <w:tc>
          <w:tcPr>
            <w:tcW w:w="1237" w:type="dxa"/>
            <w:gridSpan w:val="2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bookmarkStart w:id="4" w:name="OLE_LINK2"/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证件有效期</w:t>
            </w:r>
            <w:bookmarkEnd w:id="4"/>
          </w:p>
        </w:tc>
        <w:tc>
          <w:tcPr>
            <w:tcW w:w="3814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ind w:firstLine="160" w:firstLineChars="100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1510" w:type="dxa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6"/>
                <w:szCs w:val="16"/>
              </w:rPr>
              <w:t>是否为特定自然人</w:t>
            </w:r>
          </w:p>
        </w:tc>
        <w:tc>
          <w:tcPr>
            <w:tcW w:w="9366" w:type="dxa"/>
            <w:gridSpan w:val="11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ind w:left="1767" w:hanging="1760" w:hangingChars="1100"/>
              <w:jc w:val="left"/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16"/>
                <w:szCs w:val="16"/>
              </w:rPr>
              <w:t>☐否 ☐ 是，请选择：☐ 外国政要  ☐ 外国政要的特定关系人   ☐ 国际组织高管  ☐ 国际组织高官的特定关系人  ☐ 其他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1510" w:type="dxa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不良诚信记录</w:t>
            </w:r>
          </w:p>
        </w:tc>
        <w:tc>
          <w:tcPr>
            <w:tcW w:w="9366" w:type="dxa"/>
            <w:gridSpan w:val="11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ind w:left="1767" w:hanging="1760" w:hangingChars="1100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无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有，请说明：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510" w:type="dxa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税收居民身份</w:t>
            </w:r>
          </w:p>
        </w:tc>
        <w:tc>
          <w:tcPr>
            <w:tcW w:w="9366" w:type="dxa"/>
            <w:gridSpan w:val="11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ind w:left="1760" w:leftChars="0" w:hanging="1760" w:hangingChars="1100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 xml:space="preserve">是否为中国税收居民： □ 是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否，请填写《个人税收居民声明文件》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1510" w:type="dxa"/>
            <w:vMerge w:val="restart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>代办人信息</w:t>
            </w:r>
          </w:p>
        </w:tc>
        <w:tc>
          <w:tcPr>
            <w:tcW w:w="1495" w:type="dxa"/>
            <w:gridSpan w:val="2"/>
            <w:tcBorders>
              <w:tl2br w:val="nil"/>
              <w:tr2bl w:val="nil"/>
            </w:tcBorders>
            <w:shd w:val="clear" w:color="auto" w:fill="F1F1F1" w:themeFill="background1" w:themeFillShade="F2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>姓名</w:t>
            </w:r>
          </w:p>
        </w:tc>
        <w:tc>
          <w:tcPr>
            <w:tcW w:w="1976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  <w:tc>
          <w:tcPr>
            <w:tcW w:w="1183" w:type="dxa"/>
            <w:gridSpan w:val="2"/>
            <w:tcBorders>
              <w:tl2br w:val="nil"/>
              <w:tr2bl w:val="nil"/>
            </w:tcBorders>
            <w:shd w:val="clear" w:color="auto" w:fill="F1F1F1" w:themeFill="background1" w:themeFillShade="F2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证件类型</w:t>
            </w:r>
          </w:p>
        </w:tc>
        <w:tc>
          <w:tcPr>
            <w:tcW w:w="1745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  <w:tc>
          <w:tcPr>
            <w:tcW w:w="1242" w:type="dxa"/>
            <w:gridSpan w:val="2"/>
            <w:tcBorders>
              <w:tl2br w:val="nil"/>
              <w:tr2bl w:val="nil"/>
            </w:tcBorders>
            <w:shd w:val="clear" w:color="auto" w:fill="F1F1F1" w:themeFill="background1" w:themeFillShade="F2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>手机号码</w:t>
            </w:r>
          </w:p>
        </w:tc>
        <w:tc>
          <w:tcPr>
            <w:tcW w:w="172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510" w:type="dxa"/>
            <w:vMerge w:val="continue"/>
            <w:tcBorders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  <w:tc>
          <w:tcPr>
            <w:tcW w:w="1495" w:type="dxa"/>
            <w:gridSpan w:val="2"/>
            <w:tcBorders>
              <w:tl2br w:val="nil"/>
              <w:tr2bl w:val="nil"/>
            </w:tcBorders>
            <w:shd w:val="clear" w:color="auto" w:fill="F1F1F1" w:themeFill="background1" w:themeFillShade="F2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16"/>
                <w:szCs w:val="16"/>
                <w:lang w:val="en-US" w:eastAsia="zh-CN"/>
              </w:rPr>
              <w:t>证件号码</w:t>
            </w:r>
          </w:p>
        </w:tc>
        <w:tc>
          <w:tcPr>
            <w:tcW w:w="1976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  <w:tc>
          <w:tcPr>
            <w:tcW w:w="1183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  <w:t>证件有效期</w:t>
            </w:r>
          </w:p>
        </w:tc>
        <w:tc>
          <w:tcPr>
            <w:tcW w:w="4712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16"/>
                <w:szCs w:val="1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5" w:hRule="atLeast"/>
        </w:trPr>
        <w:tc>
          <w:tcPr>
            <w:tcW w:w="10876" w:type="dxa"/>
            <w:gridSpan w:val="1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numPr>
                <w:ilvl w:val="0"/>
                <w:numId w:val="0"/>
              </w:numPr>
              <w:jc w:val="left"/>
              <w:rPr>
                <w:rFonts w:hint="eastAsia" w:ascii="宋体" w:hAnsi="宋体" w:cs="宋体"/>
                <w:b/>
                <w:bCs/>
                <w:color w:val="FF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16"/>
                <w:szCs w:val="16"/>
              </w:rPr>
              <w:t>★声 明：</w:t>
            </w:r>
            <w:bookmarkStart w:id="8" w:name="_GoBack"/>
            <w:bookmarkEnd w:id="8"/>
          </w:p>
          <w:p>
            <w:pPr>
              <w:widowControl/>
              <w:numPr>
                <w:ilvl w:val="0"/>
                <w:numId w:val="1"/>
              </w:numPr>
              <w:ind w:left="80" w:firstLine="0" w:firstLineChars="0"/>
              <w:jc w:val="left"/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</w:rPr>
              <w:t>本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lang w:val="en-US" w:eastAsia="zh-CN"/>
              </w:rPr>
              <w:t>人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</w:rPr>
              <w:t>已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  <w:t>充分了解国家有关基金/资产管理计划和反洗钱相关法律法规和相关政策，</w:t>
            </w:r>
            <w:bookmarkStart w:id="5" w:name="OLE_LINK7"/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  <w:t>已仔细阅读基金合同/资产管理合同、最新招募/投资说明书、产品资料概要、产品风险揭示书（如有）</w:t>
            </w:r>
            <w:bookmarkEnd w:id="5"/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  <w:t>、</w:t>
            </w:r>
            <w:bookmarkStart w:id="6" w:name="OLE_LINK8"/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  <w:t>《证券投资基金投资人权益须知》、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  <w:lang w:val="en-US" w:eastAsia="zh-CN"/>
              </w:rPr>
              <w:t>客户维护费揭示书、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  <w:t>公告、</w:t>
            </w:r>
            <w:bookmarkEnd w:id="6"/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  <w:t>业务规则以及此表背面的“风险提示”和“注意事项”，了解相关权益，并同意接受相关条款的约定，知悉并理解所示风险，自愿承担因投资基金/资产管理计划所带来的投资风险和损失。</w:t>
            </w:r>
          </w:p>
          <w:p>
            <w:pPr>
              <w:pStyle w:val="21"/>
              <w:widowControl/>
              <w:numPr>
                <w:ilvl w:val="-1"/>
                <w:numId w:val="0"/>
              </w:numPr>
              <w:ind w:left="0" w:leftChars="0" w:firstLine="0" w:firstLineChars="0"/>
              <w:jc w:val="left"/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  <w:lang w:val="en-US" w:eastAsia="zh-CN"/>
              </w:rPr>
              <w:t>2、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  <w:t>本人保证此表中所填信息真实、准确、完整，并对其负责。</w:t>
            </w:r>
          </w:p>
          <w:p>
            <w:pPr>
              <w:pStyle w:val="21"/>
              <w:widowControl/>
              <w:numPr>
                <w:ilvl w:val="0"/>
                <w:numId w:val="0"/>
              </w:numPr>
              <w:ind w:firstLine="0" w:firstLineChars="0"/>
              <w:jc w:val="left"/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  <w:lang w:val="en-US" w:eastAsia="zh-CN"/>
              </w:rPr>
              <w:t>3、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  <w:t>本人已阅读并充分了解《博时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  <w:lang w:val="en-US" w:eastAsia="zh-CN"/>
              </w:rPr>
              <w:t>财富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  <w:t>隐私保护政策》，知悉并同意贵司根据上述隐私政策和法律法规、监管规定收集、使用、存储或以其他方式处理个人信息。本人授权博时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  <w:lang w:val="en-US" w:eastAsia="zh-CN"/>
              </w:rPr>
              <w:t>财富基金销售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  <w:t>有限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</w:rPr>
              <w:t>公司在必要时可通过第三方机构核实本人提供信息的准确性，同时承诺用于投资的资金来源合法合规。</w:t>
            </w:r>
          </w:p>
          <w:p>
            <w:pPr>
              <w:widowControl/>
              <w:ind w:firstLine="0" w:firstLineChars="0"/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6"/>
                <w:szCs w:val="16"/>
              </w:rPr>
              <w:t>签字以示以上承诺及申请意愿为本投资人真实意思表示。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" w:hRule="atLeast"/>
        </w:trPr>
        <w:tc>
          <w:tcPr>
            <w:tcW w:w="10876" w:type="dxa"/>
            <w:gridSpan w:val="1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6"/>
                <w:szCs w:val="16"/>
              </w:rPr>
              <w:t xml:space="preserve"> 投资人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6"/>
                <w:szCs w:val="16"/>
                <w:lang w:val="en-US" w:eastAsia="zh-CN"/>
              </w:rPr>
              <w:t>/代办人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6"/>
                <w:szCs w:val="16"/>
              </w:rPr>
              <w:t xml:space="preserve">签字:                                                                      年       月       日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6"/>
                <w:szCs w:val="16"/>
                <w:lang w:val="en-US" w:eastAsia="zh-CN"/>
              </w:rPr>
              <w:t xml:space="preserve">                                                  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" w:hRule="atLeast"/>
        </w:trPr>
        <w:tc>
          <w:tcPr>
            <w:tcW w:w="10876" w:type="dxa"/>
            <w:gridSpan w:val="1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操作员:</w:t>
            </w: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/>
              </w:rPr>
              <w:t xml:space="preserve">                     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复核员:</w:t>
            </w: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/>
              </w:rPr>
              <w:t xml:space="preserve">                               业务专用章</w:t>
            </w:r>
          </w:p>
        </w:tc>
      </w:tr>
    </w:tbl>
    <w:p>
      <w:pPr>
        <w:widowControl/>
        <w:spacing w:line="360" w:lineRule="auto"/>
        <w:jc w:val="left"/>
        <w:rPr>
          <w:rFonts w:hint="eastAsia" w:ascii="宋体" w:hAnsi="宋体" w:eastAsia="宋体" w:cs="宋体"/>
          <w:color w:val="000000"/>
          <w:kern w:val="0"/>
          <w:sz w:val="16"/>
          <w:szCs w:val="16"/>
        </w:rPr>
      </w:pPr>
      <w:r>
        <w:rPr>
          <w:rFonts w:hint="eastAsia" w:ascii="等线" w:hAnsi="等线" w:eastAsia="宋体" w:cs="宋体"/>
          <w:color w:val="000000"/>
          <w:kern w:val="0"/>
          <w:sz w:val="16"/>
          <w:szCs w:val="16"/>
        </w:rPr>
        <w:t>请</w:t>
      </w:r>
      <w:r>
        <w:rPr>
          <w:rFonts w:hint="eastAsia" w:ascii="等线" w:hAnsi="等线" w:eastAsia="宋体" w:cs="宋体"/>
          <w:color w:val="000000"/>
          <w:kern w:val="0"/>
          <w:sz w:val="16"/>
          <w:szCs w:val="16"/>
          <w:lang w:val="en-US" w:eastAsia="zh-CN"/>
        </w:rPr>
        <w:t>电子版填写或</w:t>
      </w:r>
      <w:r>
        <w:rPr>
          <w:rFonts w:hint="eastAsia" w:ascii="等线" w:hAnsi="等线" w:eastAsia="宋体" w:cs="宋体"/>
          <w:color w:val="000000"/>
          <w:kern w:val="0"/>
          <w:sz w:val="16"/>
          <w:szCs w:val="16"/>
        </w:rPr>
        <w:t>以正楷字体</w:t>
      </w:r>
      <w:r>
        <w:rPr>
          <w:rFonts w:hint="eastAsia" w:ascii="等线" w:hAnsi="等线" w:eastAsia="宋体" w:cs="宋体"/>
          <w:color w:val="000000"/>
          <w:kern w:val="0"/>
          <w:sz w:val="16"/>
          <w:szCs w:val="16"/>
          <w:lang w:val="en-US" w:eastAsia="zh-CN"/>
        </w:rPr>
        <w:t>手写</w:t>
      </w:r>
      <w:r>
        <w:rPr>
          <w:rFonts w:hint="eastAsia" w:ascii="等线" w:hAnsi="等线" w:cs="宋体"/>
          <w:b w:val="0"/>
          <w:bCs w:val="0"/>
          <w:color w:val="000000"/>
          <w:kern w:val="0"/>
          <w:sz w:val="16"/>
          <w:szCs w:val="16"/>
        </w:rPr>
        <w:t>。</w:t>
      </w:r>
      <w:r>
        <w:rPr>
          <w:rFonts w:hint="eastAsia" w:ascii="宋体" w:hAnsi="宋体" w:cs="宋体"/>
          <w:b w:val="0"/>
          <w:bCs w:val="0"/>
          <w:color w:val="000000"/>
          <w:kern w:val="0"/>
          <w:sz w:val="16"/>
          <w:szCs w:val="16"/>
        </w:rPr>
        <w:t>。如遇选择项，请在□内划“√”，涂改作废。</w:t>
      </w:r>
      <w:r>
        <w:rPr>
          <w:rFonts w:hint="eastAsia" w:ascii="宋体" w:hAnsi="宋体" w:eastAsia="宋体" w:cs="宋体"/>
          <w:color w:val="000000"/>
          <w:kern w:val="0"/>
          <w:sz w:val="16"/>
          <w:szCs w:val="16"/>
        </w:rPr>
        <w:br w:type="page"/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textAlignment w:val="auto"/>
        <w:rPr>
          <w:rFonts w:hint="eastAsia" w:ascii="宋体" w:hAnsi="宋体" w:eastAsia="宋体" w:cs="宋体"/>
          <w:b/>
          <w:bCs/>
          <w:sz w:val="16"/>
          <w:szCs w:val="16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16"/>
          <w:szCs w:val="16"/>
        </w:rPr>
        <w:t xml:space="preserve"> </w:t>
      </w:r>
      <w:r>
        <w:rPr>
          <w:rFonts w:hint="eastAsia" w:ascii="宋体" w:hAnsi="宋体" w:eastAsia="宋体" w:cs="宋体"/>
          <w:b/>
          <w:bCs/>
          <w:sz w:val="16"/>
          <w:szCs w:val="16"/>
        </w:rPr>
        <w:t>填表须知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="宋体" w:hAnsi="宋体" w:eastAsia="宋体" w:cs="宋体"/>
          <w:bCs/>
          <w:sz w:val="16"/>
          <w:szCs w:val="16"/>
        </w:rPr>
      </w:pPr>
      <w:r>
        <w:rPr>
          <w:rFonts w:hint="eastAsia" w:ascii="宋体" w:hAnsi="宋体" w:cs="宋体"/>
          <w:sz w:val="16"/>
          <w:szCs w:val="16"/>
          <w:lang w:val="en-US" w:eastAsia="zh-CN"/>
        </w:rPr>
        <w:t>投资人本人</w:t>
      </w:r>
      <w:r>
        <w:rPr>
          <w:rFonts w:hint="eastAsia" w:ascii="宋体" w:hAnsi="宋体" w:eastAsia="宋体" w:cs="宋体"/>
          <w:sz w:val="16"/>
          <w:szCs w:val="16"/>
        </w:rPr>
        <w:t>办理开户、</w:t>
      </w:r>
      <w:r>
        <w:rPr>
          <w:rFonts w:hint="eastAsia" w:ascii="宋体" w:hAnsi="宋体" w:eastAsia="宋体" w:cs="宋体"/>
          <w:bCs/>
          <w:sz w:val="16"/>
          <w:szCs w:val="16"/>
        </w:rPr>
        <w:t>登记基金账号需提供填妥并由本人签字的申请表、《个人税收居民纳税声明文件》；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="宋体" w:hAnsi="宋体" w:eastAsia="宋体" w:cs="宋体"/>
          <w:bCs/>
          <w:sz w:val="16"/>
          <w:szCs w:val="16"/>
        </w:rPr>
      </w:pPr>
      <w:r>
        <w:rPr>
          <w:rFonts w:hint="eastAsia" w:ascii="宋体" w:hAnsi="宋体" w:eastAsia="宋体" w:cs="宋体"/>
          <w:bCs/>
          <w:sz w:val="16"/>
          <w:szCs w:val="16"/>
        </w:rPr>
        <w:t>开户时，投资人必须出具有效身份证件原件及其签字复印件，如有代办人，还需提供代办人的有效身份证件原件及其签字复印件，以及投资人授权代办人办理基金业务的公证书原件；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="宋体" w:hAnsi="宋体" w:eastAsia="宋体" w:cs="宋体"/>
          <w:bCs/>
          <w:sz w:val="16"/>
          <w:szCs w:val="16"/>
        </w:rPr>
      </w:pPr>
      <w:r>
        <w:rPr>
          <w:rFonts w:hint="eastAsia" w:ascii="宋体" w:hAnsi="宋体" w:eastAsia="宋体" w:cs="宋体"/>
          <w:bCs/>
          <w:sz w:val="16"/>
          <w:szCs w:val="16"/>
        </w:rPr>
        <w:t>“银行账户信息”是博时财富用于投资人赎回、分红和退款资金划入的银行账户，该账户的户名必须和投资人名称一致。出示指定银行储蓄存折或银行借记卡原件，提供复印件；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firstLine="0"/>
        <w:jc w:val="left"/>
        <w:textAlignment w:val="auto"/>
        <w:rPr>
          <w:rFonts w:hint="eastAsia" w:ascii="宋体" w:hAnsi="宋体" w:eastAsia="宋体" w:cs="宋体"/>
          <w:bCs/>
          <w:sz w:val="16"/>
          <w:szCs w:val="16"/>
        </w:rPr>
      </w:pPr>
      <w:r>
        <w:rPr>
          <w:rFonts w:hint="eastAsia" w:ascii="宋体" w:hAnsi="宋体" w:eastAsia="宋体" w:cs="宋体"/>
          <w:bCs/>
          <w:sz w:val="16"/>
          <w:szCs w:val="16"/>
        </w:rPr>
        <w:t>请投资人认真核对“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通讯地址</w:t>
      </w:r>
      <w:r>
        <w:rPr>
          <w:rFonts w:hint="eastAsia" w:ascii="宋体" w:hAnsi="宋体" w:eastAsia="宋体" w:cs="宋体"/>
          <w:bCs/>
          <w:sz w:val="16"/>
          <w:szCs w:val="16"/>
        </w:rPr>
        <w:t>”，并按照省-市-县/区-街道/镇-路/街-号/门牌号/楼/大厦/小区-房号/室填写；投资人需提前阅读《</w:t>
      </w:r>
      <w:r>
        <w:rPr>
          <w:rFonts w:hint="eastAsia" w:ascii="宋体" w:hAnsi="宋体" w:cs="宋体"/>
          <w:bCs/>
          <w:sz w:val="16"/>
          <w:szCs w:val="16"/>
        </w:rPr>
        <w:t>博时财富基金销售有限公司投资人权益须知</w:t>
      </w:r>
      <w:r>
        <w:rPr>
          <w:rFonts w:hint="eastAsia" w:ascii="宋体" w:hAnsi="宋体" w:eastAsia="宋体" w:cs="宋体"/>
          <w:bCs/>
          <w:sz w:val="16"/>
          <w:szCs w:val="16"/>
        </w:rPr>
        <w:t>》，并在《</w:t>
      </w:r>
      <w:r>
        <w:rPr>
          <w:rFonts w:hint="eastAsia" w:ascii="宋体" w:hAnsi="宋体" w:cs="宋体"/>
          <w:bCs/>
          <w:sz w:val="16"/>
          <w:szCs w:val="16"/>
        </w:rPr>
        <w:t>博时财富基金销售有限公司投资人权益须知</w:t>
      </w:r>
      <w:r>
        <w:rPr>
          <w:rFonts w:hint="eastAsia" w:ascii="宋体" w:hAnsi="宋体" w:eastAsia="宋体" w:cs="宋体"/>
          <w:bCs/>
          <w:sz w:val="16"/>
          <w:szCs w:val="16"/>
        </w:rPr>
        <w:t>》上签字确认；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="宋体" w:hAnsi="宋体" w:eastAsia="宋体" w:cs="宋体"/>
          <w:bCs/>
          <w:sz w:val="16"/>
          <w:szCs w:val="16"/>
        </w:rPr>
      </w:pPr>
      <w:r>
        <w:rPr>
          <w:rFonts w:hint="eastAsia" w:ascii="宋体" w:hAnsi="宋体" w:eastAsia="宋体" w:cs="宋体"/>
          <w:bCs/>
          <w:sz w:val="16"/>
          <w:szCs w:val="16"/>
        </w:rPr>
        <w:t>职业</w:t>
      </w:r>
      <w:r>
        <w:rPr>
          <w:rFonts w:hint="eastAsia" w:ascii="宋体" w:hAnsi="宋体" w:eastAsia="宋体" w:cs="宋体"/>
          <w:bCs/>
          <w:sz w:val="16"/>
          <w:szCs w:val="16"/>
          <w:lang w:eastAsia="zh-CN"/>
        </w:rPr>
        <w:t>，</w:t>
      </w:r>
      <w:r>
        <w:rPr>
          <w:rFonts w:hint="eastAsia" w:ascii="宋体" w:hAnsi="宋体" w:eastAsia="宋体" w:cs="宋体"/>
          <w:bCs/>
          <w:sz w:val="16"/>
          <w:szCs w:val="16"/>
          <w:lang w:val="en-US" w:eastAsia="zh-CN"/>
        </w:rPr>
        <w:t>请在以下类型中选择：</w:t>
      </w:r>
    </w:p>
    <w:p>
      <w:pPr>
        <w:numPr>
          <w:ilvl w:val="0"/>
          <w:numId w:val="0"/>
        </w:numPr>
        <w:spacing w:line="280" w:lineRule="exact"/>
        <w:ind w:left="319" w:leftChars="152" w:firstLine="0"/>
        <w:jc w:val="left"/>
        <w:rPr>
          <w:rFonts w:hint="eastAsia" w:ascii="宋体" w:hAnsi="宋体" w:cs="宋体"/>
          <w:bCs/>
          <w:sz w:val="16"/>
          <w:szCs w:val="16"/>
        </w:rPr>
      </w:pP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0</w:t>
      </w:r>
      <w:r>
        <w:rPr>
          <w:rFonts w:hint="eastAsia" w:ascii="宋体" w:hAnsi="宋体" w:cs="宋体"/>
          <w:bCs/>
          <w:sz w:val="16"/>
          <w:szCs w:val="16"/>
        </w:rPr>
        <w:t>1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党政机关负责人及管理人员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、0</w:t>
      </w:r>
      <w:r>
        <w:rPr>
          <w:rFonts w:hint="eastAsia" w:ascii="宋体" w:hAnsi="宋体" w:cs="宋体"/>
          <w:bCs/>
          <w:sz w:val="16"/>
          <w:szCs w:val="16"/>
        </w:rPr>
        <w:t>2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企事业单位负责人及管理人员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、0</w:t>
      </w:r>
      <w:r>
        <w:rPr>
          <w:rFonts w:hint="eastAsia" w:ascii="宋体" w:hAnsi="宋体" w:cs="宋体"/>
          <w:bCs/>
          <w:sz w:val="16"/>
          <w:szCs w:val="16"/>
        </w:rPr>
        <w:t>3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民主党派和工商联负责人及管理人员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、0</w:t>
      </w:r>
      <w:r>
        <w:rPr>
          <w:rFonts w:hint="eastAsia" w:ascii="宋体" w:hAnsi="宋体" w:cs="宋体"/>
          <w:bCs/>
          <w:sz w:val="16"/>
          <w:szCs w:val="16"/>
        </w:rPr>
        <w:t>4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人民团体或群众团体负责人及管理人员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、0</w:t>
      </w:r>
      <w:r>
        <w:rPr>
          <w:rFonts w:hint="eastAsia" w:ascii="宋体" w:hAnsi="宋体" w:cs="宋体"/>
          <w:bCs/>
          <w:sz w:val="16"/>
          <w:szCs w:val="16"/>
        </w:rPr>
        <w:t>5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社会组织（社会团体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基金会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社会服务机构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外国商会等）负责人及管理人员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、0</w:t>
      </w:r>
      <w:r>
        <w:rPr>
          <w:rFonts w:hint="eastAsia" w:ascii="宋体" w:hAnsi="宋体" w:cs="宋体"/>
          <w:bCs/>
          <w:sz w:val="16"/>
          <w:szCs w:val="16"/>
        </w:rPr>
        <w:t>6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科学研究及教学人员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、0</w:t>
      </w:r>
      <w:r>
        <w:rPr>
          <w:rFonts w:hint="eastAsia" w:ascii="宋体" w:hAnsi="宋体" w:cs="宋体"/>
          <w:bCs/>
          <w:sz w:val="16"/>
          <w:szCs w:val="16"/>
        </w:rPr>
        <w:t>7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文学艺术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体育专业人员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、0</w:t>
      </w:r>
      <w:r>
        <w:rPr>
          <w:rFonts w:hint="eastAsia" w:ascii="宋体" w:hAnsi="宋体" w:cs="宋体"/>
          <w:bCs/>
          <w:sz w:val="16"/>
          <w:szCs w:val="16"/>
        </w:rPr>
        <w:t>8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新闻出版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文化专业人员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、0</w:t>
      </w:r>
      <w:r>
        <w:rPr>
          <w:rFonts w:hint="eastAsia" w:ascii="宋体" w:hAnsi="宋体" w:cs="宋体"/>
          <w:bCs/>
          <w:sz w:val="16"/>
          <w:szCs w:val="16"/>
        </w:rPr>
        <w:t>9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卫生专业技术人员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10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工程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农业专业人员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11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法律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会计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审计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税务专业人员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12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经济和金融专业人员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13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宗教人士等特殊职业人员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14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其他专业技术人员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15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党政机关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企事业单位行政工作人员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16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民主党派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工商联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人民团体或社会组织等单位工作人员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17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人民警察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消防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应急救援人员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18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批发与零售服务人员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19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房地产服务人员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20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旅游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住宿和餐饮服务人员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21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珠宝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黄金等贵金属行业服务人员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22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文化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体育和娱乐服务人员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23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典当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拍卖行业服务人员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24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艺术品或文物收藏行业服务人员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25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废品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旧货回收服务人员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26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交通运输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仓储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邮政业服务人员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27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信息运输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软件和信息技术服务人员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28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居民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健康服务人员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29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其他社会生产和社会服务人员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30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农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林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牧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渔业生产及辅助人员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31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生产制造及有关人员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32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军人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33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国际组织工作人员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34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离退休人员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35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个体工商户（含淘宝店自营等）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36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无业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、</w:t>
      </w:r>
      <w:r>
        <w:rPr>
          <w:rFonts w:hint="eastAsia" w:ascii="宋体" w:hAnsi="宋体" w:cs="宋体"/>
          <w:bCs/>
          <w:sz w:val="16"/>
          <w:szCs w:val="16"/>
        </w:rPr>
        <w:t>37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|</w:t>
      </w:r>
      <w:r>
        <w:rPr>
          <w:rFonts w:hint="eastAsia" w:ascii="宋体" w:hAnsi="宋体" w:cs="宋体"/>
          <w:bCs/>
          <w:sz w:val="16"/>
          <w:szCs w:val="16"/>
        </w:rPr>
        <w:t>学生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line="280" w:lineRule="exact"/>
        <w:textAlignment w:val="auto"/>
        <w:rPr>
          <w:rFonts w:hint="eastAsia" w:ascii="宋体" w:hAnsi="宋体" w:eastAsia="宋体" w:cs="宋体"/>
          <w:b/>
          <w:bCs/>
          <w:sz w:val="16"/>
          <w:szCs w:val="16"/>
        </w:rPr>
      </w:pPr>
      <w:r>
        <w:rPr>
          <w:rFonts w:hint="eastAsia" w:ascii="宋体" w:hAnsi="宋体" w:eastAsia="宋体" w:cs="宋体"/>
          <w:b/>
          <w:bCs/>
          <w:sz w:val="16"/>
          <w:szCs w:val="16"/>
        </w:rPr>
        <w:t>风险提示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="宋体" w:hAnsi="宋体" w:eastAsia="宋体" w:cs="宋体"/>
          <w:bCs/>
          <w:sz w:val="16"/>
          <w:szCs w:val="16"/>
        </w:rPr>
      </w:pPr>
      <w:r>
        <w:rPr>
          <w:rFonts w:hint="eastAsia" w:ascii="宋体" w:hAnsi="宋体" w:eastAsia="宋体" w:cs="宋体"/>
          <w:bCs/>
          <w:sz w:val="16"/>
          <w:szCs w:val="16"/>
        </w:rPr>
        <w:t>博时财富基金销售有限公司（以下简称“博时财富”）代销的基金</w:t>
      </w:r>
      <w:r>
        <w:rPr>
          <w:rFonts w:hint="eastAsia" w:ascii="宋体" w:hAnsi="宋体" w:eastAsia="宋体" w:cs="宋体"/>
          <w:sz w:val="16"/>
          <w:szCs w:val="16"/>
          <w:lang w:val="en-US" w:eastAsia="zh-CN"/>
        </w:rPr>
        <w:t>/资管管理计划</w:t>
      </w:r>
      <w:bookmarkStart w:id="7" w:name="OLE_LINK4"/>
      <w:r>
        <w:rPr>
          <w:rFonts w:hint="eastAsia" w:ascii="宋体" w:hAnsi="宋体" w:eastAsia="宋体" w:cs="宋体"/>
          <w:bCs/>
          <w:sz w:val="16"/>
          <w:szCs w:val="16"/>
        </w:rPr>
        <w:t>均经中国证券监督管理委员会核准发行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或在中国证券投资基金业协会备案发行</w:t>
      </w:r>
      <w:bookmarkEnd w:id="7"/>
      <w:r>
        <w:rPr>
          <w:rFonts w:hint="eastAsia" w:ascii="宋体" w:hAnsi="宋体" w:eastAsia="宋体" w:cs="宋体"/>
          <w:bCs/>
          <w:sz w:val="16"/>
          <w:szCs w:val="16"/>
        </w:rPr>
        <w:t>。但中国证监会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或中国证券投资基金业协会</w:t>
      </w:r>
      <w:r>
        <w:rPr>
          <w:rFonts w:hint="eastAsia" w:ascii="宋体" w:hAnsi="宋体" w:eastAsia="宋体" w:cs="宋体"/>
          <w:bCs/>
          <w:sz w:val="16"/>
          <w:szCs w:val="16"/>
        </w:rPr>
        <w:t>对</w:t>
      </w:r>
      <w:r>
        <w:rPr>
          <w:rFonts w:hint="eastAsia" w:ascii="宋体" w:hAnsi="宋体" w:eastAsia="宋体" w:cs="宋体"/>
          <w:sz w:val="16"/>
          <w:szCs w:val="16"/>
          <w:lang w:val="en-US" w:eastAsia="zh-CN"/>
        </w:rPr>
        <w:t>本公司代销的产品</w:t>
      </w:r>
      <w:r>
        <w:rPr>
          <w:rFonts w:hint="eastAsia" w:ascii="宋体" w:hAnsi="宋体" w:eastAsia="宋体" w:cs="宋体"/>
          <w:bCs/>
          <w:sz w:val="16"/>
          <w:szCs w:val="16"/>
        </w:rPr>
        <w:t>所做的任何决定，并不表明其对</w:t>
      </w:r>
      <w:r>
        <w:rPr>
          <w:rFonts w:hint="eastAsia" w:ascii="宋体" w:hAnsi="宋体" w:eastAsia="宋体" w:cs="宋体"/>
          <w:sz w:val="16"/>
          <w:szCs w:val="16"/>
          <w:lang w:val="en-US" w:eastAsia="zh-CN"/>
        </w:rPr>
        <w:t>该产品</w:t>
      </w:r>
      <w:r>
        <w:rPr>
          <w:rFonts w:hint="eastAsia" w:ascii="宋体" w:hAnsi="宋体" w:eastAsia="宋体" w:cs="宋体"/>
          <w:bCs/>
          <w:sz w:val="16"/>
          <w:szCs w:val="16"/>
        </w:rPr>
        <w:t>的价值和收益有实质性的保证，亦不意味</w:t>
      </w:r>
      <w:r>
        <w:rPr>
          <w:rFonts w:hint="eastAsia" w:ascii="宋体" w:hAnsi="宋体" w:eastAsia="宋体" w:cs="宋体"/>
          <w:sz w:val="16"/>
          <w:szCs w:val="16"/>
          <w:lang w:val="en-US" w:eastAsia="zh-CN"/>
        </w:rPr>
        <w:t>该产品</w:t>
      </w:r>
      <w:r>
        <w:rPr>
          <w:rFonts w:hint="eastAsia" w:ascii="宋体" w:hAnsi="宋体" w:eastAsia="宋体" w:cs="宋体"/>
          <w:bCs/>
          <w:sz w:val="16"/>
          <w:szCs w:val="16"/>
        </w:rPr>
        <w:t>投资没有风险。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="宋体" w:hAnsi="宋体" w:eastAsia="宋体" w:cs="宋体"/>
          <w:bCs/>
          <w:sz w:val="16"/>
          <w:szCs w:val="16"/>
        </w:rPr>
      </w:pPr>
      <w:r>
        <w:rPr>
          <w:rFonts w:hint="eastAsia" w:ascii="宋体" w:hAnsi="宋体" w:eastAsia="宋体" w:cs="宋体"/>
          <w:bCs/>
          <w:sz w:val="16"/>
          <w:szCs w:val="16"/>
        </w:rPr>
        <w:t>博时财富代销基金</w:t>
      </w:r>
      <w:r>
        <w:rPr>
          <w:rFonts w:hint="eastAsia" w:ascii="宋体" w:hAnsi="宋体" w:eastAsia="宋体" w:cs="宋体"/>
          <w:sz w:val="16"/>
          <w:szCs w:val="16"/>
          <w:lang w:val="en-US" w:eastAsia="zh-CN"/>
        </w:rPr>
        <w:t>/资产管理计划</w:t>
      </w:r>
      <w:r>
        <w:rPr>
          <w:rFonts w:hint="eastAsia" w:ascii="宋体" w:hAnsi="宋体" w:eastAsia="宋体" w:cs="宋体"/>
          <w:bCs/>
          <w:sz w:val="16"/>
          <w:szCs w:val="16"/>
        </w:rPr>
        <w:t>的管理人承诺以诚实信用、勤勉尽责的原则管理和运用基金</w:t>
      </w:r>
      <w:r>
        <w:rPr>
          <w:rFonts w:hint="eastAsia" w:ascii="宋体" w:hAnsi="宋体" w:eastAsia="宋体" w:cs="宋体"/>
          <w:sz w:val="16"/>
          <w:szCs w:val="16"/>
          <w:lang w:val="en-US" w:eastAsia="zh-CN"/>
        </w:rPr>
        <w:t>/资产管理计划</w:t>
      </w:r>
      <w:r>
        <w:rPr>
          <w:rFonts w:hint="eastAsia" w:ascii="宋体" w:hAnsi="宋体" w:eastAsia="宋体" w:cs="宋体"/>
          <w:bCs/>
          <w:sz w:val="16"/>
          <w:szCs w:val="16"/>
        </w:rPr>
        <w:t>资产，但不保证本基金</w:t>
      </w:r>
      <w:r>
        <w:rPr>
          <w:rFonts w:hint="eastAsia" w:ascii="宋体" w:hAnsi="宋体" w:eastAsia="宋体" w:cs="宋体"/>
          <w:sz w:val="16"/>
          <w:szCs w:val="16"/>
          <w:lang w:val="en-US" w:eastAsia="zh-CN"/>
        </w:rPr>
        <w:t>/资产管理计划</w:t>
      </w:r>
      <w:r>
        <w:rPr>
          <w:rFonts w:hint="eastAsia" w:ascii="宋体" w:hAnsi="宋体" w:eastAsia="宋体" w:cs="宋体"/>
          <w:bCs/>
          <w:sz w:val="16"/>
          <w:szCs w:val="16"/>
        </w:rPr>
        <w:t>一定盈利，也不保证最低收益。基金</w:t>
      </w:r>
      <w:r>
        <w:rPr>
          <w:rFonts w:hint="eastAsia" w:ascii="宋体" w:hAnsi="宋体" w:eastAsia="宋体" w:cs="宋体"/>
          <w:sz w:val="16"/>
          <w:szCs w:val="16"/>
          <w:lang w:val="en-US" w:eastAsia="zh-CN"/>
        </w:rPr>
        <w:t>/资产管理计划</w:t>
      </w:r>
      <w:r>
        <w:rPr>
          <w:rFonts w:hint="eastAsia" w:ascii="宋体" w:hAnsi="宋体" w:eastAsia="宋体" w:cs="宋体"/>
          <w:bCs/>
          <w:sz w:val="16"/>
          <w:szCs w:val="16"/>
        </w:rPr>
        <w:t>的过往业绩及其净值高低并不预示其未来业绩表现。博时财富提醒投资人基金</w:t>
      </w:r>
      <w:r>
        <w:rPr>
          <w:rFonts w:hint="eastAsia" w:ascii="宋体" w:hAnsi="宋体" w:eastAsia="宋体" w:cs="宋体"/>
          <w:sz w:val="16"/>
          <w:szCs w:val="16"/>
          <w:lang w:val="en-US" w:eastAsia="zh-CN"/>
        </w:rPr>
        <w:t>/资产管理计划</w:t>
      </w:r>
      <w:r>
        <w:rPr>
          <w:rFonts w:hint="eastAsia" w:ascii="宋体" w:hAnsi="宋体" w:eastAsia="宋体" w:cs="宋体"/>
          <w:bCs/>
          <w:sz w:val="16"/>
          <w:szCs w:val="16"/>
        </w:rPr>
        <w:t>投资的“买者自负”原则，在做出投资决策后，基金</w:t>
      </w:r>
      <w:r>
        <w:rPr>
          <w:rFonts w:hint="eastAsia" w:ascii="宋体" w:hAnsi="宋体" w:eastAsia="宋体" w:cs="宋体"/>
          <w:sz w:val="16"/>
          <w:szCs w:val="16"/>
          <w:lang w:val="en-US" w:eastAsia="zh-CN"/>
        </w:rPr>
        <w:t>/资产管理计划</w:t>
      </w:r>
      <w:r>
        <w:rPr>
          <w:rFonts w:hint="eastAsia" w:ascii="宋体" w:hAnsi="宋体" w:eastAsia="宋体" w:cs="宋体"/>
          <w:bCs/>
          <w:sz w:val="16"/>
          <w:szCs w:val="16"/>
        </w:rPr>
        <w:t>运营状况与净值变化引致的投资风险，由投资人自行负担。中国证监会的核准并不代表中国证监会对该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产品</w:t>
      </w:r>
      <w:r>
        <w:rPr>
          <w:rFonts w:hint="eastAsia" w:ascii="宋体" w:hAnsi="宋体" w:eastAsia="宋体" w:cs="宋体"/>
          <w:bCs/>
          <w:sz w:val="16"/>
          <w:szCs w:val="16"/>
        </w:rPr>
        <w:t>的风险和收益做出实质性判断、推荐或者保证。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="宋体" w:hAnsi="宋体" w:eastAsia="宋体" w:cs="宋体"/>
          <w:bCs/>
          <w:sz w:val="16"/>
          <w:szCs w:val="16"/>
        </w:rPr>
      </w:pPr>
      <w:r>
        <w:rPr>
          <w:rFonts w:hint="eastAsia" w:ascii="宋体" w:hAnsi="宋体" w:eastAsia="宋体" w:cs="宋体"/>
          <w:bCs/>
          <w:sz w:val="16"/>
          <w:szCs w:val="16"/>
        </w:rPr>
        <w:t>由于不可抗力、无法估值、巨额赎回等情形发生，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产品管理人</w:t>
      </w:r>
      <w:r>
        <w:rPr>
          <w:rFonts w:hint="eastAsia" w:ascii="宋体" w:hAnsi="宋体" w:eastAsia="宋体" w:cs="宋体"/>
          <w:bCs/>
          <w:sz w:val="16"/>
          <w:szCs w:val="16"/>
        </w:rPr>
        <w:t>可按照基金合同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/资产管理合同</w:t>
      </w:r>
      <w:r>
        <w:rPr>
          <w:rFonts w:hint="eastAsia" w:ascii="宋体" w:hAnsi="宋体" w:eastAsia="宋体" w:cs="宋体"/>
          <w:bCs/>
          <w:sz w:val="16"/>
          <w:szCs w:val="16"/>
        </w:rPr>
        <w:t>、最新招募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/投资</w:t>
      </w:r>
      <w:r>
        <w:rPr>
          <w:rFonts w:hint="eastAsia" w:ascii="宋体" w:hAnsi="宋体" w:eastAsia="宋体" w:cs="宋体"/>
          <w:bCs/>
          <w:sz w:val="16"/>
          <w:szCs w:val="16"/>
        </w:rPr>
        <w:t>说明书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、产品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资料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概要</w:t>
      </w:r>
      <w:r>
        <w:rPr>
          <w:rFonts w:hint="eastAsia" w:ascii="宋体" w:hAnsi="宋体" w:eastAsia="宋体" w:cs="宋体"/>
          <w:bCs/>
          <w:sz w:val="16"/>
          <w:szCs w:val="16"/>
        </w:rPr>
        <w:t>等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法律文件</w:t>
      </w:r>
      <w:r>
        <w:rPr>
          <w:rFonts w:hint="eastAsia" w:ascii="宋体" w:hAnsi="宋体" w:eastAsia="宋体" w:cs="宋体"/>
          <w:bCs/>
          <w:sz w:val="16"/>
          <w:szCs w:val="16"/>
        </w:rPr>
        <w:t>载明的规定暂停接受投资人的赎回申请，或者延缓支付赎回款项。投资人自行承担由此产生的风险。敬请详细了解有关规定。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="宋体" w:hAnsi="宋体" w:eastAsia="宋体" w:cs="宋体"/>
          <w:bCs/>
          <w:sz w:val="16"/>
          <w:szCs w:val="16"/>
        </w:rPr>
      </w:pPr>
      <w:r>
        <w:rPr>
          <w:rFonts w:hint="eastAsia" w:ascii="宋体" w:hAnsi="宋体" w:eastAsia="宋体" w:cs="宋体"/>
          <w:bCs/>
          <w:sz w:val="16"/>
          <w:szCs w:val="16"/>
        </w:rPr>
        <w:t>市场因素的影响会使证券市场产生波动，投资于证券市场的基金</w:t>
      </w:r>
      <w:r>
        <w:rPr>
          <w:rFonts w:hint="eastAsia" w:ascii="宋体" w:hAnsi="宋体" w:eastAsia="宋体" w:cs="宋体"/>
          <w:sz w:val="16"/>
          <w:szCs w:val="16"/>
          <w:lang w:val="en-US" w:eastAsia="zh-CN"/>
        </w:rPr>
        <w:t>/资产管理计划</w:t>
      </w:r>
      <w:r>
        <w:rPr>
          <w:rFonts w:hint="eastAsia" w:ascii="宋体" w:hAnsi="宋体" w:eastAsia="宋体" w:cs="宋体"/>
          <w:bCs/>
          <w:sz w:val="16"/>
          <w:szCs w:val="16"/>
        </w:rPr>
        <w:t>可能因此遭受损失。市场因素造成的基金</w:t>
      </w:r>
      <w:r>
        <w:rPr>
          <w:rFonts w:hint="eastAsia" w:ascii="宋体" w:hAnsi="宋体" w:eastAsia="宋体" w:cs="宋体"/>
          <w:sz w:val="16"/>
          <w:szCs w:val="16"/>
          <w:lang w:val="en-US" w:eastAsia="zh-CN"/>
        </w:rPr>
        <w:t>/资产管理计划</w:t>
      </w:r>
      <w:r>
        <w:rPr>
          <w:rFonts w:hint="eastAsia" w:ascii="宋体" w:hAnsi="宋体" w:eastAsia="宋体" w:cs="宋体"/>
          <w:bCs/>
          <w:sz w:val="16"/>
          <w:szCs w:val="16"/>
        </w:rPr>
        <w:t>收益风险将由投资人自行承担。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="宋体" w:hAnsi="宋体" w:eastAsia="宋体" w:cs="宋体"/>
          <w:bCs/>
          <w:sz w:val="16"/>
          <w:szCs w:val="16"/>
        </w:rPr>
      </w:pPr>
      <w:r>
        <w:rPr>
          <w:rFonts w:hint="eastAsia" w:ascii="宋体" w:hAnsi="宋体" w:eastAsia="宋体" w:cs="宋体"/>
          <w:bCs/>
          <w:sz w:val="16"/>
          <w:szCs w:val="16"/>
        </w:rPr>
        <w:t>由于战争、自然灾害、罢工、通信技术故障或其他不可预见的意外情况导致基金</w:t>
      </w:r>
      <w:r>
        <w:rPr>
          <w:rFonts w:hint="eastAsia" w:ascii="宋体" w:hAnsi="宋体" w:eastAsia="宋体" w:cs="宋体"/>
          <w:sz w:val="16"/>
          <w:szCs w:val="16"/>
          <w:lang w:val="en-US" w:eastAsia="zh-CN"/>
        </w:rPr>
        <w:t>/资产管理计划</w:t>
      </w:r>
      <w:r>
        <w:rPr>
          <w:rFonts w:hint="eastAsia" w:ascii="宋体" w:hAnsi="宋体" w:eastAsia="宋体" w:cs="宋体"/>
          <w:bCs/>
          <w:sz w:val="16"/>
          <w:szCs w:val="16"/>
        </w:rPr>
        <w:t>资产损失的风险由遭受损失方自行承担。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="宋体" w:hAnsi="宋体" w:eastAsia="宋体" w:cs="宋体"/>
          <w:bCs/>
          <w:sz w:val="16"/>
          <w:szCs w:val="16"/>
        </w:rPr>
      </w:pPr>
      <w:r>
        <w:rPr>
          <w:rFonts w:hint="eastAsia" w:ascii="宋体" w:hAnsi="宋体" w:eastAsia="宋体" w:cs="宋体"/>
          <w:bCs/>
          <w:sz w:val="16"/>
          <w:szCs w:val="16"/>
        </w:rPr>
        <w:t>投资人在办理基金账户业务相关手续时，须保证所提供资料的真实性，并承诺在投资人相关信息发生重要变化、可能影响其分类时，应及时告知并办理相关变更手续，如因资料不实或更改不及时而导致的风险由投资人自行承担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="宋体" w:hAnsi="宋体" w:eastAsia="宋体" w:cs="宋体"/>
          <w:bCs/>
          <w:sz w:val="16"/>
          <w:szCs w:val="16"/>
        </w:rPr>
      </w:pPr>
      <w:r>
        <w:rPr>
          <w:rFonts w:hint="eastAsia" w:ascii="宋体" w:hAnsi="宋体" w:eastAsia="宋体" w:cs="宋体"/>
          <w:bCs/>
          <w:sz w:val="16"/>
          <w:szCs w:val="16"/>
        </w:rPr>
        <w:t>按照《证券期货投资者适当性管理办法》等相关法律法规，普通投资者在信息告知、风险警示、适当性匹配等方面享有特殊保护。请投资人在开户、交易时仔细核对确认自己的投资者类型、风险等级及产品风险等级的匹配情况。在购买风险等级高于其风险承受能力的产品时，需预留充分的考虑时间，并在交易时间内确认是否继续交易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="宋体" w:hAnsi="宋体" w:eastAsia="宋体" w:cs="宋体"/>
          <w:bCs/>
          <w:sz w:val="16"/>
          <w:szCs w:val="16"/>
        </w:rPr>
      </w:pPr>
      <w:r>
        <w:rPr>
          <w:rFonts w:hint="eastAsia" w:ascii="宋体" w:hAnsi="宋体" w:eastAsia="宋体" w:cs="宋体"/>
          <w:bCs/>
          <w:sz w:val="16"/>
          <w:szCs w:val="16"/>
        </w:rPr>
        <w:t>投资人应当认真阅读基金合同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/资产管理合同</w:t>
      </w:r>
      <w:r>
        <w:rPr>
          <w:rFonts w:hint="eastAsia" w:ascii="宋体" w:hAnsi="宋体" w:cs="宋体"/>
          <w:bCs/>
          <w:sz w:val="16"/>
          <w:szCs w:val="16"/>
          <w:lang w:eastAsia="zh-CN"/>
        </w:rPr>
        <w:t>、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最新</w:t>
      </w:r>
      <w:r>
        <w:rPr>
          <w:rFonts w:hint="eastAsia" w:ascii="宋体" w:hAnsi="宋体" w:eastAsia="宋体" w:cs="宋体"/>
          <w:bCs/>
          <w:sz w:val="16"/>
          <w:szCs w:val="16"/>
        </w:rPr>
        <w:t>招募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/投资</w:t>
      </w:r>
      <w:r>
        <w:rPr>
          <w:rFonts w:hint="eastAsia" w:ascii="宋体" w:hAnsi="宋体" w:eastAsia="宋体" w:cs="宋体"/>
          <w:bCs/>
          <w:sz w:val="16"/>
          <w:szCs w:val="16"/>
        </w:rPr>
        <w:t>说明书、产品资料概要、产品风险揭示书等法律文件，了解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产品</w:t>
      </w:r>
      <w:r>
        <w:rPr>
          <w:rFonts w:hint="eastAsia" w:ascii="宋体" w:hAnsi="宋体" w:eastAsia="宋体" w:cs="宋体"/>
          <w:bCs/>
          <w:sz w:val="16"/>
          <w:szCs w:val="16"/>
        </w:rPr>
        <w:t>的风险收益特征，并根据自身的投资目的、投资期限、投资经验、资产状况等判断基金</w:t>
      </w:r>
      <w:r>
        <w:rPr>
          <w:rFonts w:hint="eastAsia" w:ascii="宋体" w:hAnsi="宋体" w:eastAsia="宋体" w:cs="宋体"/>
          <w:sz w:val="16"/>
          <w:szCs w:val="16"/>
          <w:lang w:val="en-US" w:eastAsia="zh-CN"/>
        </w:rPr>
        <w:t>/资产管理计划</w:t>
      </w:r>
      <w:r>
        <w:rPr>
          <w:rFonts w:hint="eastAsia" w:ascii="宋体" w:hAnsi="宋体" w:eastAsia="宋体" w:cs="宋体"/>
          <w:bCs/>
          <w:sz w:val="16"/>
          <w:szCs w:val="16"/>
        </w:rPr>
        <w:t>是否和投资人的风险承受能力相适应。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="宋体" w:hAnsi="宋体" w:eastAsia="宋体" w:cs="宋体"/>
          <w:bCs/>
          <w:sz w:val="16"/>
          <w:szCs w:val="16"/>
        </w:rPr>
      </w:pPr>
      <w:r>
        <w:rPr>
          <w:rFonts w:hint="eastAsia" w:ascii="宋体" w:hAnsi="宋体" w:cs="宋体"/>
          <w:bCs/>
          <w:sz w:val="16"/>
          <w:szCs w:val="16"/>
        </w:rPr>
        <w:t>若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投资人开</w:t>
      </w:r>
      <w:r>
        <w:rPr>
          <w:rFonts w:hint="eastAsia" w:ascii="宋体" w:hAnsi="宋体" w:cs="宋体"/>
          <w:bCs/>
          <w:sz w:val="16"/>
          <w:szCs w:val="16"/>
        </w:rPr>
        <w:t>通了网上交易，应妥善保管密码，并建议定期更换。由于其疏忽或其它原因而致使密码失密造成的损失由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投资人</w:t>
      </w:r>
      <w:r>
        <w:rPr>
          <w:rFonts w:hint="eastAsia" w:ascii="宋体" w:hAnsi="宋体" w:cs="宋体"/>
          <w:bCs/>
          <w:sz w:val="16"/>
          <w:szCs w:val="16"/>
        </w:rPr>
        <w:t>自行承担，博时财富对此不承担任何责任。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="宋体" w:hAnsi="宋体" w:eastAsia="宋体" w:cs="宋体"/>
          <w:bCs/>
          <w:sz w:val="16"/>
          <w:szCs w:val="16"/>
        </w:rPr>
      </w:pPr>
      <w:r>
        <w:rPr>
          <w:rFonts w:hint="eastAsia" w:ascii="宋体" w:hAnsi="宋体" w:eastAsia="宋体" w:cs="宋体"/>
          <w:bCs/>
          <w:sz w:val="16"/>
          <w:szCs w:val="16"/>
        </w:rPr>
        <w:t>特别提示投资者，账户类业务申请提交的受理不等于该申请被确认成功，而仅代表博时财富确实收到申请。开户是否成功最终结果以产品管理人或注册登记机构的确认为准，投资者可于T+2日向本机构查询确认结果，基金合同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/资产管理合同</w:t>
      </w:r>
      <w:r>
        <w:rPr>
          <w:rFonts w:hint="eastAsia" w:ascii="宋体" w:hAnsi="宋体" w:eastAsia="宋体" w:cs="宋体"/>
          <w:bCs/>
          <w:sz w:val="16"/>
          <w:szCs w:val="16"/>
        </w:rPr>
        <w:t>另有规定的除外。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line="280" w:lineRule="exact"/>
        <w:textAlignment w:val="auto"/>
        <w:rPr>
          <w:rFonts w:hint="eastAsia" w:ascii="宋体" w:hAnsi="宋体" w:eastAsia="宋体" w:cs="宋体"/>
          <w:b/>
          <w:bCs w:val="0"/>
          <w:sz w:val="16"/>
          <w:szCs w:val="16"/>
        </w:rPr>
      </w:pPr>
      <w:r>
        <w:rPr>
          <w:rFonts w:hint="eastAsia" w:ascii="宋体" w:hAnsi="宋体" w:eastAsia="宋体" w:cs="宋体"/>
          <w:b/>
          <w:bCs w:val="0"/>
          <w:sz w:val="16"/>
          <w:szCs w:val="16"/>
        </w:rPr>
        <w:t>其他注意事项</w:t>
      </w:r>
    </w:p>
    <w:p>
      <w:pPr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="宋体" w:hAnsi="宋体" w:eastAsia="宋体" w:cs="宋体"/>
          <w:bCs/>
          <w:sz w:val="16"/>
          <w:szCs w:val="16"/>
        </w:rPr>
      </w:pPr>
      <w:r>
        <w:rPr>
          <w:rFonts w:hint="eastAsia" w:ascii="宋体" w:hAnsi="宋体" w:eastAsia="宋体" w:cs="宋体"/>
          <w:bCs/>
          <w:sz w:val="16"/>
          <w:szCs w:val="16"/>
        </w:rPr>
        <w:t>此表仅作为个人投资者基金</w:t>
      </w:r>
      <w:r>
        <w:rPr>
          <w:rFonts w:hint="eastAsia" w:ascii="宋体" w:hAnsi="宋体" w:cs="宋体"/>
          <w:bCs/>
          <w:sz w:val="16"/>
          <w:szCs w:val="16"/>
          <w:lang w:val="en-US" w:eastAsia="zh-CN"/>
        </w:rPr>
        <w:t>账</w:t>
      </w:r>
      <w:r>
        <w:rPr>
          <w:rFonts w:hint="eastAsia" w:ascii="宋体" w:hAnsi="宋体" w:eastAsia="宋体" w:cs="宋体"/>
          <w:bCs/>
          <w:sz w:val="16"/>
          <w:szCs w:val="16"/>
        </w:rPr>
        <w:t>户业务申请之用，不作为博时财富对该项业务的确认；</w:t>
      </w:r>
    </w:p>
    <w:p>
      <w:pPr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="宋体" w:hAnsi="宋体" w:eastAsia="宋体" w:cs="宋体"/>
          <w:bCs/>
          <w:sz w:val="16"/>
          <w:szCs w:val="16"/>
        </w:rPr>
      </w:pPr>
      <w:r>
        <w:rPr>
          <w:rFonts w:hint="eastAsia" w:ascii="宋体" w:hAnsi="宋体" w:eastAsia="宋体" w:cs="宋体"/>
          <w:bCs/>
          <w:sz w:val="16"/>
          <w:szCs w:val="16"/>
        </w:rPr>
        <w:t>开立基金账户的投资者必须是中华人民共和国法律、法规规定的合法投资者；</w:t>
      </w:r>
    </w:p>
    <w:p>
      <w:pPr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="宋体" w:hAnsi="宋体" w:eastAsia="宋体" w:cs="宋体"/>
          <w:bCs/>
          <w:sz w:val="16"/>
          <w:szCs w:val="16"/>
        </w:rPr>
      </w:pPr>
      <w:r>
        <w:rPr>
          <w:rFonts w:hint="eastAsia" w:ascii="宋体" w:hAnsi="宋体" w:eastAsia="宋体" w:cs="宋体"/>
          <w:bCs/>
          <w:sz w:val="16"/>
          <w:szCs w:val="16"/>
        </w:rPr>
        <w:t>投资人需在开户当天进行投资人风险调查问卷填写，确认自身风险等级。</w:t>
      </w:r>
    </w:p>
    <w:p>
      <w:pPr>
        <w:pStyle w:val="21"/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Chars="0"/>
        <w:textAlignment w:val="auto"/>
        <w:rPr>
          <w:rFonts w:hint="eastAsia" w:ascii="宋体" w:hAnsi="宋体" w:eastAsia="宋体" w:cs="宋体"/>
          <w:sz w:val="16"/>
          <w:szCs w:val="18"/>
        </w:rPr>
      </w:pPr>
      <w:r>
        <w:rPr>
          <w:rFonts w:hint="eastAsia" w:ascii="宋体" w:hAnsi="宋体" w:eastAsia="宋体" w:cs="宋体"/>
          <w:sz w:val="16"/>
          <w:szCs w:val="18"/>
        </w:rPr>
        <w:t>博时财富柜台地址：广东省深圳市福田区莲花街道福新社区益田路5999号基金大厦19层  邮政编码：518017；</w:t>
      </w:r>
    </w:p>
    <w:p>
      <w:pPr>
        <w:pStyle w:val="21"/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Chars="0"/>
        <w:jc w:val="left"/>
        <w:textAlignment w:val="auto"/>
        <w:rPr>
          <w:rFonts w:hint="eastAsia" w:ascii="宋体" w:hAnsi="宋体" w:eastAsia="宋体" w:cs="宋体"/>
          <w:sz w:val="16"/>
          <w:szCs w:val="18"/>
        </w:rPr>
      </w:pPr>
      <w:r>
        <w:rPr>
          <w:rFonts w:hint="eastAsia" w:ascii="宋体" w:hAnsi="宋体" w:eastAsia="宋体" w:cs="宋体"/>
          <w:sz w:val="16"/>
          <w:szCs w:val="18"/>
        </w:rPr>
        <w:t>请仔细阅读博时财富公开发布的信息，如希望获取更多信息或进行投诉，请登录博时财富网站www.boserawealth.com或拨打博时财富客户服务电话4006105568（免长途话费）。</w:t>
      </w:r>
    </w:p>
    <w:sectPr>
      <w:footerReference r:id="rId3" w:type="default"/>
      <w:pgSz w:w="11906" w:h="16838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Lucida Console">
    <w:panose1 w:val="020B0609040504020204"/>
    <w:charset w:val="00"/>
    <w:family w:val="auto"/>
    <w:pitch w:val="default"/>
    <w:sig w:usb0="8000028F" w:usb1="00001800" w:usb2="00000000" w:usb3="00000000" w:csb0="0000001F" w:csb1="D7D7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/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/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10F64D0"/>
    <w:multiLevelType w:val="singleLevel"/>
    <w:tmpl w:val="C10F64D0"/>
    <w:lvl w:ilvl="0" w:tentative="0">
      <w:start w:val="1"/>
      <w:numFmt w:val="decimal"/>
      <w:suff w:val="nothing"/>
      <w:lvlText w:val="%1、"/>
      <w:lvlJc w:val="left"/>
      <w:pPr>
        <w:ind w:left="80" w:leftChars="0" w:firstLine="0" w:firstLineChars="0"/>
      </w:pPr>
    </w:lvl>
  </w:abstractNum>
  <w:abstractNum w:abstractNumId="1">
    <w:nsid w:val="112E4C1D"/>
    <w:multiLevelType w:val="multilevel"/>
    <w:tmpl w:val="112E4C1D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2">
    <w:nsid w:val="42E042D8"/>
    <w:multiLevelType w:val="multilevel"/>
    <w:tmpl w:val="42E042D8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3">
    <w:nsid w:val="5CA459A1"/>
    <w:multiLevelType w:val="multilevel"/>
    <w:tmpl w:val="5CA459A1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32291"/>
    <w:rsid w:val="000E54A2"/>
    <w:rsid w:val="001C47F2"/>
    <w:rsid w:val="001C7435"/>
    <w:rsid w:val="002D58B7"/>
    <w:rsid w:val="00370145"/>
    <w:rsid w:val="003C5B0B"/>
    <w:rsid w:val="006D483E"/>
    <w:rsid w:val="007613E5"/>
    <w:rsid w:val="007748C7"/>
    <w:rsid w:val="00776C4D"/>
    <w:rsid w:val="007B20BB"/>
    <w:rsid w:val="007B48D0"/>
    <w:rsid w:val="0095581E"/>
    <w:rsid w:val="009744A4"/>
    <w:rsid w:val="00A15337"/>
    <w:rsid w:val="00AA5797"/>
    <w:rsid w:val="00B17033"/>
    <w:rsid w:val="00B94B6B"/>
    <w:rsid w:val="00D12D5D"/>
    <w:rsid w:val="00ED0700"/>
    <w:rsid w:val="00EE458A"/>
    <w:rsid w:val="00FA5E7B"/>
    <w:rsid w:val="00FB6A40"/>
    <w:rsid w:val="018B30E7"/>
    <w:rsid w:val="01AD6A22"/>
    <w:rsid w:val="02206347"/>
    <w:rsid w:val="02AA7C61"/>
    <w:rsid w:val="02DA2A2A"/>
    <w:rsid w:val="033B5248"/>
    <w:rsid w:val="033D49E5"/>
    <w:rsid w:val="035E3CA2"/>
    <w:rsid w:val="0387029B"/>
    <w:rsid w:val="05346CFF"/>
    <w:rsid w:val="0537511C"/>
    <w:rsid w:val="056D3DEB"/>
    <w:rsid w:val="073B05B5"/>
    <w:rsid w:val="084A5791"/>
    <w:rsid w:val="08564041"/>
    <w:rsid w:val="0859714B"/>
    <w:rsid w:val="08667377"/>
    <w:rsid w:val="08EE000F"/>
    <w:rsid w:val="092579CF"/>
    <w:rsid w:val="096A75FA"/>
    <w:rsid w:val="098224B5"/>
    <w:rsid w:val="0A1F5758"/>
    <w:rsid w:val="0A3F19F3"/>
    <w:rsid w:val="0A8671E1"/>
    <w:rsid w:val="0ACE2947"/>
    <w:rsid w:val="0AFD7E5A"/>
    <w:rsid w:val="0B402F20"/>
    <w:rsid w:val="0BA672B5"/>
    <w:rsid w:val="0BDA3681"/>
    <w:rsid w:val="0C080F9F"/>
    <w:rsid w:val="0C136446"/>
    <w:rsid w:val="0C495685"/>
    <w:rsid w:val="0DCF24ED"/>
    <w:rsid w:val="0DD13F75"/>
    <w:rsid w:val="0DEA59BD"/>
    <w:rsid w:val="0E193444"/>
    <w:rsid w:val="0E2D6AE6"/>
    <w:rsid w:val="0E3E13BE"/>
    <w:rsid w:val="0E46512A"/>
    <w:rsid w:val="0E722040"/>
    <w:rsid w:val="0ED70194"/>
    <w:rsid w:val="0EEA7F39"/>
    <w:rsid w:val="1033117C"/>
    <w:rsid w:val="115111EB"/>
    <w:rsid w:val="11D557FF"/>
    <w:rsid w:val="1242493D"/>
    <w:rsid w:val="138775D7"/>
    <w:rsid w:val="14D9302F"/>
    <w:rsid w:val="15713236"/>
    <w:rsid w:val="15C45181"/>
    <w:rsid w:val="15F3690F"/>
    <w:rsid w:val="16341896"/>
    <w:rsid w:val="16724BA8"/>
    <w:rsid w:val="169A1CB7"/>
    <w:rsid w:val="176A312B"/>
    <w:rsid w:val="182876B1"/>
    <w:rsid w:val="183710C7"/>
    <w:rsid w:val="19126F01"/>
    <w:rsid w:val="193716DB"/>
    <w:rsid w:val="198A6BA7"/>
    <w:rsid w:val="19DA7FF8"/>
    <w:rsid w:val="1A090284"/>
    <w:rsid w:val="1A5A16E4"/>
    <w:rsid w:val="1BAA1D73"/>
    <w:rsid w:val="1BBE74C7"/>
    <w:rsid w:val="1BF8253C"/>
    <w:rsid w:val="1C136B68"/>
    <w:rsid w:val="1C4F439B"/>
    <w:rsid w:val="1CC34A3E"/>
    <w:rsid w:val="1CDE1B9D"/>
    <w:rsid w:val="1DAC775C"/>
    <w:rsid w:val="1EDD51FD"/>
    <w:rsid w:val="201D6DB4"/>
    <w:rsid w:val="21331BFB"/>
    <w:rsid w:val="21A514FB"/>
    <w:rsid w:val="21DD569B"/>
    <w:rsid w:val="21E44449"/>
    <w:rsid w:val="22121746"/>
    <w:rsid w:val="2215120E"/>
    <w:rsid w:val="222F34BF"/>
    <w:rsid w:val="22736870"/>
    <w:rsid w:val="24394E20"/>
    <w:rsid w:val="24762581"/>
    <w:rsid w:val="24863122"/>
    <w:rsid w:val="24997EBF"/>
    <w:rsid w:val="24B05C97"/>
    <w:rsid w:val="263B7A7A"/>
    <w:rsid w:val="267D469D"/>
    <w:rsid w:val="26C21F18"/>
    <w:rsid w:val="272525FE"/>
    <w:rsid w:val="27D93406"/>
    <w:rsid w:val="27ED363B"/>
    <w:rsid w:val="27F46A7F"/>
    <w:rsid w:val="284F59AF"/>
    <w:rsid w:val="28A3056D"/>
    <w:rsid w:val="293F0B3B"/>
    <w:rsid w:val="29BB019E"/>
    <w:rsid w:val="2A5971BD"/>
    <w:rsid w:val="2B3E319C"/>
    <w:rsid w:val="2BBD2E68"/>
    <w:rsid w:val="2BDD4BFA"/>
    <w:rsid w:val="2CE0661C"/>
    <w:rsid w:val="2D3454FD"/>
    <w:rsid w:val="2DAE4B99"/>
    <w:rsid w:val="2DE74363"/>
    <w:rsid w:val="2E300278"/>
    <w:rsid w:val="2E347CFB"/>
    <w:rsid w:val="2E4C7348"/>
    <w:rsid w:val="2EF00A12"/>
    <w:rsid w:val="2F500B3B"/>
    <w:rsid w:val="2FEC7699"/>
    <w:rsid w:val="30431AA5"/>
    <w:rsid w:val="30EE5ABD"/>
    <w:rsid w:val="311B7A2C"/>
    <w:rsid w:val="31C63384"/>
    <w:rsid w:val="32003B98"/>
    <w:rsid w:val="32054105"/>
    <w:rsid w:val="32380315"/>
    <w:rsid w:val="32AA6CEF"/>
    <w:rsid w:val="331A6F90"/>
    <w:rsid w:val="331D76E7"/>
    <w:rsid w:val="33CB758F"/>
    <w:rsid w:val="353D4996"/>
    <w:rsid w:val="354613F6"/>
    <w:rsid w:val="369E2479"/>
    <w:rsid w:val="37863E74"/>
    <w:rsid w:val="37EE56DB"/>
    <w:rsid w:val="37F976E5"/>
    <w:rsid w:val="395802BC"/>
    <w:rsid w:val="3A25301D"/>
    <w:rsid w:val="3B4A293B"/>
    <w:rsid w:val="3BB35742"/>
    <w:rsid w:val="3C950ED0"/>
    <w:rsid w:val="3D242D44"/>
    <w:rsid w:val="3E317495"/>
    <w:rsid w:val="3F051C53"/>
    <w:rsid w:val="3F84751D"/>
    <w:rsid w:val="3F9D7615"/>
    <w:rsid w:val="3FBE104C"/>
    <w:rsid w:val="3FC5385B"/>
    <w:rsid w:val="404D342C"/>
    <w:rsid w:val="41A806E9"/>
    <w:rsid w:val="41B06152"/>
    <w:rsid w:val="42085F38"/>
    <w:rsid w:val="4261376A"/>
    <w:rsid w:val="43281B95"/>
    <w:rsid w:val="436D7359"/>
    <w:rsid w:val="455B1156"/>
    <w:rsid w:val="466B4B97"/>
    <w:rsid w:val="471820A5"/>
    <w:rsid w:val="47C933BB"/>
    <w:rsid w:val="4819071D"/>
    <w:rsid w:val="48AF4467"/>
    <w:rsid w:val="49F85B61"/>
    <w:rsid w:val="4A8A42D6"/>
    <w:rsid w:val="4AD6483E"/>
    <w:rsid w:val="4AFB43D0"/>
    <w:rsid w:val="4B117559"/>
    <w:rsid w:val="4BA7702D"/>
    <w:rsid w:val="4BE24FA9"/>
    <w:rsid w:val="4D226E7A"/>
    <w:rsid w:val="4D240875"/>
    <w:rsid w:val="4D44323C"/>
    <w:rsid w:val="503F080C"/>
    <w:rsid w:val="51462D09"/>
    <w:rsid w:val="517B667D"/>
    <w:rsid w:val="51AA5DC7"/>
    <w:rsid w:val="524E0373"/>
    <w:rsid w:val="52CB44D5"/>
    <w:rsid w:val="52CF08E6"/>
    <w:rsid w:val="530E00F5"/>
    <w:rsid w:val="53653EF3"/>
    <w:rsid w:val="544675C0"/>
    <w:rsid w:val="54C56E0A"/>
    <w:rsid w:val="54EF6266"/>
    <w:rsid w:val="55152977"/>
    <w:rsid w:val="553D387A"/>
    <w:rsid w:val="560D1259"/>
    <w:rsid w:val="5742397C"/>
    <w:rsid w:val="577D73A5"/>
    <w:rsid w:val="586A3931"/>
    <w:rsid w:val="58737345"/>
    <w:rsid w:val="596A1D04"/>
    <w:rsid w:val="599D5C30"/>
    <w:rsid w:val="5A2174C7"/>
    <w:rsid w:val="5A241F0E"/>
    <w:rsid w:val="5AB50E25"/>
    <w:rsid w:val="5ABE26ED"/>
    <w:rsid w:val="5B8C2182"/>
    <w:rsid w:val="5CF1718A"/>
    <w:rsid w:val="5D0553DC"/>
    <w:rsid w:val="5D29137C"/>
    <w:rsid w:val="5D64499C"/>
    <w:rsid w:val="5DAA57D4"/>
    <w:rsid w:val="5E1C4F26"/>
    <w:rsid w:val="600A3336"/>
    <w:rsid w:val="61135B41"/>
    <w:rsid w:val="620A2365"/>
    <w:rsid w:val="62110D01"/>
    <w:rsid w:val="63AC71A5"/>
    <w:rsid w:val="63B523A0"/>
    <w:rsid w:val="63E6361F"/>
    <w:rsid w:val="642962C8"/>
    <w:rsid w:val="643C4CD4"/>
    <w:rsid w:val="653C07CB"/>
    <w:rsid w:val="65870882"/>
    <w:rsid w:val="65E56052"/>
    <w:rsid w:val="65F74891"/>
    <w:rsid w:val="667216AB"/>
    <w:rsid w:val="66912CCC"/>
    <w:rsid w:val="66CA4BBE"/>
    <w:rsid w:val="66E62045"/>
    <w:rsid w:val="670D71CE"/>
    <w:rsid w:val="671A1CE3"/>
    <w:rsid w:val="674E548A"/>
    <w:rsid w:val="67DF30CD"/>
    <w:rsid w:val="6808604A"/>
    <w:rsid w:val="685A5B0B"/>
    <w:rsid w:val="689E4075"/>
    <w:rsid w:val="68F67ED0"/>
    <w:rsid w:val="69442DA9"/>
    <w:rsid w:val="69FD02DC"/>
    <w:rsid w:val="6A386A67"/>
    <w:rsid w:val="6A4B337F"/>
    <w:rsid w:val="6A6C3D92"/>
    <w:rsid w:val="6ADD284C"/>
    <w:rsid w:val="6B364C8C"/>
    <w:rsid w:val="6B4E5DA1"/>
    <w:rsid w:val="6C236C77"/>
    <w:rsid w:val="6D066DBB"/>
    <w:rsid w:val="6D5A4D28"/>
    <w:rsid w:val="6DD8280B"/>
    <w:rsid w:val="6E18730F"/>
    <w:rsid w:val="6EDA58F1"/>
    <w:rsid w:val="6EEB4081"/>
    <w:rsid w:val="6F697D59"/>
    <w:rsid w:val="6FA36456"/>
    <w:rsid w:val="6FEC43E9"/>
    <w:rsid w:val="70623734"/>
    <w:rsid w:val="70735D0A"/>
    <w:rsid w:val="70D42631"/>
    <w:rsid w:val="70E90A11"/>
    <w:rsid w:val="70FC5419"/>
    <w:rsid w:val="716D0CBA"/>
    <w:rsid w:val="71B14A0B"/>
    <w:rsid w:val="71E32F53"/>
    <w:rsid w:val="722F6461"/>
    <w:rsid w:val="72B7498A"/>
    <w:rsid w:val="732F5B05"/>
    <w:rsid w:val="73704071"/>
    <w:rsid w:val="737E7A88"/>
    <w:rsid w:val="740622E5"/>
    <w:rsid w:val="746878B9"/>
    <w:rsid w:val="749679D6"/>
    <w:rsid w:val="74CA1C11"/>
    <w:rsid w:val="74DA5B41"/>
    <w:rsid w:val="75653831"/>
    <w:rsid w:val="756879BC"/>
    <w:rsid w:val="75AB3C9B"/>
    <w:rsid w:val="762C58A7"/>
    <w:rsid w:val="768F0E57"/>
    <w:rsid w:val="76B57EF9"/>
    <w:rsid w:val="77607E69"/>
    <w:rsid w:val="77EC28E4"/>
    <w:rsid w:val="77F3011E"/>
    <w:rsid w:val="7808329B"/>
    <w:rsid w:val="784D7EC2"/>
    <w:rsid w:val="786E4FDD"/>
    <w:rsid w:val="78C43EAD"/>
    <w:rsid w:val="7911515F"/>
    <w:rsid w:val="79FF03B2"/>
    <w:rsid w:val="7A2424A0"/>
    <w:rsid w:val="7A246B82"/>
    <w:rsid w:val="7AD54B92"/>
    <w:rsid w:val="7B4F0C9B"/>
    <w:rsid w:val="7B6273C9"/>
    <w:rsid w:val="7C1E23FD"/>
    <w:rsid w:val="7D6F34C1"/>
    <w:rsid w:val="7D8C2647"/>
    <w:rsid w:val="7E901B3E"/>
    <w:rsid w:val="7EAA4112"/>
    <w:rsid w:val="7EB52EC0"/>
    <w:rsid w:val="7F5B4401"/>
    <w:rsid w:val="7F7C1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2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ascii="微软雅黑" w:hAnsi="微软雅黑" w:eastAsia="微软雅黑" w:cs="微软雅黑"/>
      <w:kern w:val="0"/>
      <w:sz w:val="21"/>
      <w:szCs w:val="21"/>
      <w:lang w:val="en-US" w:eastAsia="zh-CN" w:bidi="ar"/>
    </w:rPr>
  </w:style>
  <w:style w:type="character" w:styleId="9">
    <w:name w:val="Strong"/>
    <w:basedOn w:val="8"/>
    <w:qFormat/>
    <w:uiPriority w:val="22"/>
    <w:rPr>
      <w:b/>
      <w:bCs/>
    </w:rPr>
  </w:style>
  <w:style w:type="character" w:styleId="10">
    <w:name w:val="FollowedHyperlink"/>
    <w:basedOn w:val="8"/>
    <w:semiHidden/>
    <w:unhideWhenUsed/>
    <w:qFormat/>
    <w:uiPriority w:val="99"/>
    <w:rPr>
      <w:color w:val="800080"/>
      <w:u w:val="none"/>
    </w:rPr>
  </w:style>
  <w:style w:type="character" w:styleId="11">
    <w:name w:val="Emphasis"/>
    <w:basedOn w:val="8"/>
    <w:qFormat/>
    <w:uiPriority w:val="20"/>
  </w:style>
  <w:style w:type="character" w:styleId="12">
    <w:name w:val="HTML Definition"/>
    <w:basedOn w:val="8"/>
    <w:semiHidden/>
    <w:unhideWhenUsed/>
    <w:qFormat/>
    <w:uiPriority w:val="99"/>
  </w:style>
  <w:style w:type="character" w:styleId="13">
    <w:name w:val="HTML Typewriter"/>
    <w:basedOn w:val="8"/>
    <w:semiHidden/>
    <w:unhideWhenUsed/>
    <w:qFormat/>
    <w:uiPriority w:val="99"/>
    <w:rPr>
      <w:rFonts w:ascii="Lucida Console" w:hAnsi="Lucida Console" w:eastAsia="Lucida Console" w:cs="Lucida Console"/>
      <w:sz w:val="18"/>
      <w:szCs w:val="18"/>
    </w:rPr>
  </w:style>
  <w:style w:type="character" w:styleId="14">
    <w:name w:val="HTML Acronym"/>
    <w:basedOn w:val="8"/>
    <w:semiHidden/>
    <w:unhideWhenUsed/>
    <w:qFormat/>
    <w:uiPriority w:val="99"/>
  </w:style>
  <w:style w:type="character" w:styleId="15">
    <w:name w:val="HTML Variable"/>
    <w:basedOn w:val="8"/>
    <w:semiHidden/>
    <w:unhideWhenUsed/>
    <w:qFormat/>
    <w:uiPriority w:val="99"/>
  </w:style>
  <w:style w:type="character" w:styleId="16">
    <w:name w:val="Hyperlink"/>
    <w:basedOn w:val="8"/>
    <w:semiHidden/>
    <w:unhideWhenUsed/>
    <w:qFormat/>
    <w:uiPriority w:val="99"/>
    <w:rPr>
      <w:color w:val="0000FF"/>
      <w:u w:val="none"/>
    </w:rPr>
  </w:style>
  <w:style w:type="character" w:styleId="17">
    <w:name w:val="HTML Code"/>
    <w:basedOn w:val="8"/>
    <w:semiHidden/>
    <w:unhideWhenUsed/>
    <w:qFormat/>
    <w:uiPriority w:val="99"/>
    <w:rPr>
      <w:rFonts w:hint="default" w:ascii="Lucida Console" w:hAnsi="Lucida Console" w:eastAsia="Lucida Console" w:cs="Lucida Console"/>
      <w:sz w:val="18"/>
      <w:szCs w:val="18"/>
    </w:rPr>
  </w:style>
  <w:style w:type="character" w:styleId="18">
    <w:name w:val="HTML Cite"/>
    <w:basedOn w:val="8"/>
    <w:semiHidden/>
    <w:unhideWhenUsed/>
    <w:qFormat/>
    <w:uiPriority w:val="99"/>
  </w:style>
  <w:style w:type="character" w:customStyle="1" w:styleId="1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20">
    <w:name w:val="页脚 字符"/>
    <w:basedOn w:val="8"/>
    <w:link w:val="4"/>
    <w:qFormat/>
    <w:uiPriority w:val="99"/>
    <w:rPr>
      <w:sz w:val="18"/>
      <w:szCs w:val="18"/>
    </w:rPr>
  </w:style>
  <w:style w:type="paragraph" w:styleId="21">
    <w:name w:val="List Paragraph"/>
    <w:basedOn w:val="1"/>
    <w:qFormat/>
    <w:uiPriority w:val="34"/>
    <w:pPr>
      <w:ind w:firstLine="420" w:firstLineChars="200"/>
    </w:pPr>
  </w:style>
  <w:style w:type="character" w:customStyle="1" w:styleId="22">
    <w:name w:val="批注框文本 字符"/>
    <w:basedOn w:val="8"/>
    <w:link w:val="3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23">
    <w:name w:val="bom-addr"/>
    <w:basedOn w:val="8"/>
    <w:qFormat/>
    <w:uiPriority w:val="0"/>
  </w:style>
  <w:style w:type="character" w:customStyle="1" w:styleId="24">
    <w:name w:val="hover22"/>
    <w:basedOn w:val="8"/>
    <w:qFormat/>
    <w:uiPriority w:val="0"/>
    <w:rPr>
      <w:color w:val="5FB878"/>
    </w:rPr>
  </w:style>
  <w:style w:type="character" w:customStyle="1" w:styleId="25">
    <w:name w:val="hover23"/>
    <w:basedOn w:val="8"/>
    <w:qFormat/>
    <w:uiPriority w:val="0"/>
    <w:rPr>
      <w:color w:val="FFFFFF"/>
    </w:rPr>
  </w:style>
  <w:style w:type="character" w:customStyle="1" w:styleId="26">
    <w:name w:val="hover24"/>
    <w:basedOn w:val="8"/>
    <w:qFormat/>
    <w:uiPriority w:val="0"/>
    <w:rPr>
      <w:color w:val="5FB878"/>
    </w:rPr>
  </w:style>
  <w:style w:type="character" w:customStyle="1" w:styleId="27">
    <w:name w:val="after"/>
    <w:basedOn w:val="8"/>
    <w:qFormat/>
    <w:uiPriority w:val="0"/>
    <w:rPr>
      <w:rFonts w:hint="default" w:ascii="iconfont" w:hAnsi="iconfont" w:eastAsia="iconfont" w:cs="iconfont"/>
      <w:color w:val="B5151D"/>
      <w:sz w:val="24"/>
      <w:szCs w:val="24"/>
    </w:rPr>
  </w:style>
  <w:style w:type="character" w:customStyle="1" w:styleId="28">
    <w:name w:val="after1"/>
    <w:basedOn w:val="8"/>
    <w:qFormat/>
    <w:uiPriority w:val="0"/>
  </w:style>
  <w:style w:type="character" w:customStyle="1" w:styleId="29">
    <w:name w:val="after2"/>
    <w:basedOn w:val="8"/>
    <w:qFormat/>
    <w:uiPriority w:val="0"/>
  </w:style>
  <w:style w:type="character" w:customStyle="1" w:styleId="30">
    <w:name w:val="after3"/>
    <w:basedOn w:val="8"/>
    <w:qFormat/>
    <w:uiPriority w:val="0"/>
  </w:style>
  <w:style w:type="character" w:customStyle="1" w:styleId="31">
    <w:name w:val="after4"/>
    <w:basedOn w:val="8"/>
    <w:qFormat/>
    <w:uiPriority w:val="0"/>
    <w:rPr>
      <w:shd w:val="clear" w:fill="333333"/>
    </w:rPr>
  </w:style>
  <w:style w:type="character" w:customStyle="1" w:styleId="32">
    <w:name w:val="after5"/>
    <w:basedOn w:val="8"/>
    <w:qFormat/>
    <w:uiPriority w:val="0"/>
    <w:rPr>
      <w:rFonts w:hint="default" w:ascii="iconfont" w:hAnsi="iconfont" w:eastAsia="iconfont" w:cs="iconfont"/>
      <w:color w:val="FFFFFF"/>
      <w:sz w:val="24"/>
      <w:szCs w:val="24"/>
    </w:rPr>
  </w:style>
  <w:style w:type="character" w:customStyle="1" w:styleId="33">
    <w:name w:val="after6"/>
    <w:basedOn w:val="8"/>
    <w:qFormat/>
    <w:uiPriority w:val="0"/>
    <w:rPr>
      <w:rFonts w:hint="default" w:ascii="iconfont" w:hAnsi="iconfont" w:eastAsia="iconfont" w:cs="iconfon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3161eb5e-5062-48e9-8ced-9e8cfc259ea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61eb5e-5062-48e9-8ced-9e8cfc259ea1}"/>
      </w:docPartPr>
      <w:docPartBody>
        <w:p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</Pages>
  <Words>628</Words>
  <Characters>3583</Characters>
  <Lines>29</Lines>
  <Paragraphs>8</Paragraphs>
  <TotalTime>25</TotalTime>
  <ScaleCrop>false</ScaleCrop>
  <LinksUpToDate>false</LinksUpToDate>
  <CharactersWithSpaces>4203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2021-09-28T04:26:00Z</dcterms:created>
  <dc:creator>韩明亮</dc:creator>
  <cp:lastModifiedBy>panhuan</cp:lastModifiedBy>
  <dcterms:modified xsi:type="dcterms:W3CDTF">2026-06-11T05:20:16Z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878A756DDEE847A38D126D1024AE99B7</vt:lpwstr>
  </property>
</Properties>
</file>