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sz w:val="24"/>
        </w:rPr>
      </w:pPr>
    </w:p>
    <w:p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b/>
          <w:sz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</w:rPr>
        <w:t>博时财富基金销售有限公司</w:t>
      </w:r>
    </w:p>
    <w:p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b/>
          <w:sz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</w:rPr>
        <w:t>个人投资者风险承受能力问卷</w:t>
      </w:r>
    </w:p>
    <w:p>
      <w:pPr>
        <w:rPr>
          <w:rFonts w:ascii="宋体" w:hAnsi="宋体"/>
        </w:rPr>
      </w:pPr>
    </w:p>
    <w:p>
      <w:pPr>
        <w:spacing w:line="276" w:lineRule="auto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b/>
          <w:szCs w:val="21"/>
        </w:rPr>
        <w:t>提示</w:t>
      </w:r>
      <w:r>
        <w:rPr>
          <w:rFonts w:hint="eastAsia" w:asciiTheme="minorEastAsia" w:hAnsiTheme="minorEastAsia"/>
          <w:szCs w:val="21"/>
        </w:rPr>
        <w:t>：根据中国证监会颁布的《证券投资基金销售适用性指导意见》以及《证券期货投资者适当性管理办法》等法规要求，博时</w:t>
      </w:r>
      <w:r>
        <w:rPr>
          <w:rFonts w:hint="eastAsia" w:asciiTheme="minorEastAsia" w:hAnsiTheme="minorEastAsia"/>
          <w:szCs w:val="21"/>
          <w:lang w:val="en-US" w:eastAsia="zh-CN"/>
        </w:rPr>
        <w:t>财富</w:t>
      </w:r>
      <w:r>
        <w:rPr>
          <w:rFonts w:hint="eastAsia" w:asciiTheme="minorEastAsia" w:hAnsiTheme="minorEastAsia"/>
          <w:szCs w:val="21"/>
        </w:rPr>
        <w:t>作为销售机构，为保证基金投资人的权益，落实基金投资者适当性原则，需要投资者配合完成以下风险承受能力问卷，并保证所做的选项真实、准确、完整，且当以下信息发生重要变化后，应及时更新。如投资人在问卷调查中欺诈、隐瞒或有其他不实陈述导致问卷调查结果与投资实际情况不符，本公司不承担任何责任。</w:t>
      </w:r>
    </w:p>
    <w:p>
      <w:pPr>
        <w:spacing w:line="276" w:lineRule="auto"/>
        <w:ind w:firstLine="345"/>
        <w:rPr>
          <w:rFonts w:hint="eastAsia" w:asciiTheme="minorEastAsia" w:hAnsiTheme="minorEastAsia"/>
          <w:szCs w:val="21"/>
        </w:rPr>
      </w:pPr>
      <w:r>
        <w:rPr>
          <w:rFonts w:hint="eastAsia" w:asciiTheme="minorEastAsia" w:hAnsiTheme="minorEastAsia"/>
          <w:b/>
          <w:bCs/>
          <w:szCs w:val="21"/>
        </w:rPr>
        <w:t xml:space="preserve"> 本问卷旨在了解</w:t>
      </w:r>
      <w:r>
        <w:rPr>
          <w:rFonts w:hint="eastAsia" w:asciiTheme="minorEastAsia" w:hAnsiTheme="minorEastAsia"/>
          <w:b/>
          <w:bCs/>
          <w:szCs w:val="21"/>
          <w:lang w:val="en-US" w:eastAsia="zh-CN"/>
        </w:rPr>
        <w:t>您</w:t>
      </w:r>
      <w:r>
        <w:rPr>
          <w:rFonts w:hint="eastAsia" w:asciiTheme="minorEastAsia" w:hAnsiTheme="minorEastAsia"/>
          <w:b/>
          <w:bCs/>
          <w:szCs w:val="21"/>
        </w:rPr>
        <w:t>的风险承受能力，并将根据</w:t>
      </w:r>
      <w:r>
        <w:rPr>
          <w:rFonts w:hint="eastAsia" w:asciiTheme="minorEastAsia" w:hAnsiTheme="minorEastAsia"/>
          <w:b/>
          <w:bCs/>
          <w:szCs w:val="21"/>
          <w:lang w:val="en-US" w:eastAsia="zh-CN"/>
        </w:rPr>
        <w:t>您</w:t>
      </w:r>
      <w:r>
        <w:rPr>
          <w:rFonts w:hint="eastAsia" w:asciiTheme="minorEastAsia" w:hAnsiTheme="minorEastAsia"/>
          <w:b/>
          <w:bCs/>
          <w:szCs w:val="21"/>
        </w:rPr>
        <w:t>的风险承受能力以及产品的风险等级等因素向</w:t>
      </w:r>
      <w:r>
        <w:rPr>
          <w:rFonts w:hint="eastAsia" w:asciiTheme="minorEastAsia" w:hAnsiTheme="minorEastAsia"/>
          <w:b/>
          <w:bCs/>
          <w:szCs w:val="21"/>
          <w:lang w:val="en-US" w:eastAsia="zh-CN"/>
        </w:rPr>
        <w:t>您</w:t>
      </w:r>
      <w:r>
        <w:rPr>
          <w:rFonts w:hint="eastAsia" w:asciiTheme="minorEastAsia" w:hAnsiTheme="minorEastAsia"/>
          <w:b/>
          <w:bCs/>
          <w:szCs w:val="21"/>
        </w:rPr>
        <w:t>提出适当性匹配意见，请</w:t>
      </w:r>
      <w:r>
        <w:rPr>
          <w:rFonts w:hint="eastAsia" w:asciiTheme="minorEastAsia" w:hAnsiTheme="minorEastAsia"/>
          <w:b/>
          <w:bCs/>
          <w:szCs w:val="21"/>
          <w:lang w:val="en-US" w:eastAsia="zh-CN"/>
        </w:rPr>
        <w:t>您</w:t>
      </w:r>
      <w:r>
        <w:rPr>
          <w:rFonts w:hint="eastAsia" w:asciiTheme="minorEastAsia" w:hAnsiTheme="minorEastAsia"/>
          <w:b/>
          <w:bCs/>
          <w:szCs w:val="21"/>
        </w:rPr>
        <w:t>在了解产品、听取适当性意见的基础上，根据自身能力审慎决策进行投资。</w:t>
      </w:r>
      <w:r>
        <w:rPr>
          <w:rFonts w:hint="eastAsia" w:asciiTheme="minorEastAsia" w:hAnsiTheme="minorEastAsia"/>
          <w:szCs w:val="21"/>
        </w:rPr>
        <w:t>根据法规要求，若</w:t>
      </w:r>
      <w:r>
        <w:rPr>
          <w:rFonts w:hint="eastAsia" w:asciiTheme="minorEastAsia" w:hAnsiTheme="minorEastAsia"/>
          <w:szCs w:val="21"/>
          <w:lang w:val="en-US" w:eastAsia="zh-CN"/>
        </w:rPr>
        <w:t>您</w:t>
      </w:r>
      <w:r>
        <w:rPr>
          <w:rFonts w:hint="eastAsia" w:asciiTheme="minorEastAsia" w:hAnsiTheme="minorEastAsia"/>
          <w:szCs w:val="21"/>
        </w:rPr>
        <w:t>为风险承受能力最低类别的投资者，本公司将不能向</w:t>
      </w:r>
      <w:r>
        <w:rPr>
          <w:rFonts w:hint="eastAsia" w:asciiTheme="minorEastAsia" w:hAnsiTheme="minorEastAsia"/>
          <w:szCs w:val="21"/>
          <w:lang w:eastAsia="zh-CN"/>
        </w:rPr>
        <w:t>您</w:t>
      </w:r>
      <w:r>
        <w:rPr>
          <w:rFonts w:hint="eastAsia" w:asciiTheme="minorEastAsia" w:hAnsiTheme="minorEastAsia"/>
          <w:szCs w:val="21"/>
        </w:rPr>
        <w:t>提供高于</w:t>
      </w:r>
      <w:r>
        <w:rPr>
          <w:rFonts w:hint="eastAsia" w:asciiTheme="minorEastAsia" w:hAnsiTheme="minorEastAsia"/>
          <w:szCs w:val="21"/>
          <w:lang w:eastAsia="zh-CN"/>
        </w:rPr>
        <w:t>您</w:t>
      </w:r>
      <w:r>
        <w:rPr>
          <w:rFonts w:hint="eastAsia" w:asciiTheme="minorEastAsia" w:hAnsiTheme="minorEastAsia"/>
          <w:szCs w:val="21"/>
        </w:rPr>
        <w:t>风险承等级的产品或者服务。</w:t>
      </w:r>
    </w:p>
    <w:p>
      <w:pPr>
        <w:rPr>
          <w:rFonts w:ascii="宋体" w:hAnsi="宋体"/>
        </w:rPr>
      </w:pPr>
    </w:p>
    <w:p>
      <w:pPr>
        <w:spacing w:line="480" w:lineRule="auto"/>
        <w:rPr>
          <w:rFonts w:ascii="宋体" w:hAnsi="宋体"/>
          <w:b/>
        </w:rPr>
      </w:pPr>
      <w:r>
        <w:rPr>
          <w:rFonts w:hint="eastAsia" w:ascii="宋体" w:hAnsi="宋体"/>
          <w:b/>
        </w:rPr>
        <w:t>投资者名称：                             联系方式：</w:t>
      </w:r>
    </w:p>
    <w:p>
      <w:pPr>
        <w:spacing w:line="480" w:lineRule="auto"/>
        <w:rPr>
          <w:rFonts w:hint="eastAsia" w:ascii="宋体" w:hAnsi="宋体"/>
          <w:b/>
        </w:rPr>
      </w:pPr>
      <w:r>
        <w:rPr>
          <w:rFonts w:hint="eastAsia" w:ascii="宋体" w:hAnsi="宋体"/>
          <w:b/>
        </w:rPr>
        <w:t>证件类型：                               证件号码：</w:t>
      </w:r>
    </w:p>
    <w:p>
      <w:pPr>
        <w:spacing w:line="480" w:lineRule="auto"/>
        <w:rPr>
          <w:rFonts w:ascii="宋体" w:hAnsi="宋体"/>
          <w:b/>
        </w:rPr>
      </w:pPr>
      <w:r>
        <w:rPr>
          <w:rFonts w:hint="eastAsia" w:ascii="宋体" w:hAnsi="宋体"/>
          <w:b/>
          <w:lang w:val="en-US" w:eastAsia="zh-CN"/>
        </w:rPr>
        <w:t>交易</w:t>
      </w:r>
      <w:r>
        <w:rPr>
          <w:rFonts w:hint="eastAsia" w:ascii="宋体" w:hAnsi="宋体"/>
          <w:b/>
        </w:rPr>
        <w:t xml:space="preserve">账号：                     </w:t>
      </w:r>
    </w:p>
    <w:p>
      <w:pPr>
        <w:rPr>
          <w:rFonts w:ascii="宋体" w:hAnsi="宋体"/>
          <w:b/>
        </w:rPr>
      </w:pPr>
      <w:r>
        <w:rPr>
          <w:rFonts w:hint="eastAsia" w:ascii="宋体" w:hAnsi="宋体"/>
          <w:b/>
        </w:rPr>
        <w:t>（以上信息需与开户信息一致）</w:t>
      </w:r>
    </w:p>
    <w:p>
      <w:pPr>
        <w:rPr>
          <w:rFonts w:ascii="宋体" w:hAnsi="宋体"/>
          <w:b/>
        </w:rPr>
      </w:pP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t>———————————————————————————————————————</w:t>
      </w:r>
    </w:p>
    <w:p>
      <w:pPr>
        <w:pStyle w:val="6"/>
        <w:widowControl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您的主要收入来源是：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eastAsia="MS Mincho"/>
        </w:rPr>
        <w:t xml:space="preserve"> </w:t>
      </w:r>
      <w:r>
        <w:rPr>
          <w:rFonts w:hint="eastAsia"/>
          <w:lang w:val="en-US" w:eastAsia="zh-CN"/>
        </w:rPr>
        <w:t>无</w:t>
      </w:r>
      <w:r>
        <w:rPr>
          <w:rFonts w:hint="eastAsia" w:ascii="宋体" w:hAnsi="宋体" w:cs="宋体"/>
          <w:kern w:val="0"/>
          <w:szCs w:val="21"/>
        </w:rPr>
        <w:t>固定收入</w:t>
      </w:r>
    </w:p>
    <w:p>
      <w:pPr>
        <w:pStyle w:val="6"/>
        <w:widowControl/>
        <w:spacing w:line="360" w:lineRule="auto"/>
        <w:ind w:left="420" w:leftChars="200" w:firstLine="4" w:firstLineChars="2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cs="宋体" w:asciiTheme="minorEastAsia" w:hAnsiTheme="minorEastAsia"/>
          <w:kern w:val="0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kern w:val="0"/>
          <w:szCs w:val="21"/>
        </w:rPr>
        <w:t>出租、出售房地产等非金融性资产收入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利息、股息、转让证券等金融性资产收入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生产经营所得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工资、劳务报酬</w:t>
      </w:r>
    </w:p>
    <w:p>
      <w:pPr>
        <w:pStyle w:val="6"/>
        <w:widowControl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您最近3 年的个人年均收入是：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10万元以下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10-30万元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30-50万元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50-100万元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100万元以上</w:t>
      </w:r>
    </w:p>
    <w:p>
      <w:pPr>
        <w:pStyle w:val="6"/>
        <w:widowControl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在您每年的家庭可支配收入中，可用于金融投资 （储蓄存款除外）的比例为：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0-10%（含）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10%-20%（含）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20%-30%（含）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30%-50%（含）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大于50%</w:t>
      </w:r>
    </w:p>
    <w:p>
      <w:pPr>
        <w:pStyle w:val="6"/>
        <w:widowControl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您是否有尚未清偿的债务，如有，其性质是：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有，且包含以下多项债务类型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有，住宅抵押贷款等长期定额债务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有，信用卡欠款、消费信贷等短期信用债务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有，亲朋之间借款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没有</w:t>
      </w:r>
    </w:p>
    <w:p>
      <w:pPr>
        <w:pStyle w:val="6"/>
        <w:widowControl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您的学历是：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初中及以下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高中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中专或大专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本科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硕士及以上</w:t>
      </w:r>
    </w:p>
    <w:p>
      <w:pPr>
        <w:pStyle w:val="6"/>
        <w:widowControl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以下描述中哪项符合您的实际情况：</w:t>
      </w:r>
      <w:r>
        <w:rPr>
          <w:rFonts w:ascii="宋体" w:hAnsi="宋体"/>
          <w:b/>
          <w:szCs w:val="21"/>
        </w:rPr>
        <w:t xml:space="preserve"> 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/>
        </w:rPr>
        <w:t xml:space="preserve"> </w:t>
      </w:r>
      <w:r>
        <w:rPr>
          <w:rFonts w:ascii="Segoe UI" w:hAnsi="Segoe UI" w:cs="Segoe UI"/>
          <w:color w:val="333333"/>
          <w:szCs w:val="21"/>
        </w:rPr>
        <w:t>完全没有接受过金融、投资相关的教育或学习经历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/>
        </w:rPr>
        <w:t xml:space="preserve"> </w:t>
      </w:r>
      <w:r>
        <w:rPr>
          <w:rFonts w:ascii="Segoe UI" w:hAnsi="Segoe UI" w:cs="Segoe UI"/>
          <w:color w:val="333333"/>
          <w:szCs w:val="21"/>
        </w:rPr>
        <w:t>学习过金融、投资相关课程或知识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/>
        </w:rPr>
        <w:t xml:space="preserve"> </w:t>
      </w:r>
      <w:r>
        <w:rPr>
          <w:rFonts w:hint="eastAsia"/>
          <w:color w:val="000000"/>
        </w:rPr>
        <w:t>已取得金融、经济或财会等与金融产品相关专业学士及以上学位</w:t>
      </w:r>
    </w:p>
    <w:p>
      <w:pPr>
        <w:pStyle w:val="6"/>
        <w:widowControl/>
        <w:spacing w:line="360" w:lineRule="auto"/>
        <w:ind w:left="707" w:leftChars="203" w:hanging="281" w:hangingChars="134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/>
        </w:rPr>
        <w:t xml:space="preserve"> </w:t>
      </w:r>
      <w:r>
        <w:rPr>
          <w:rFonts w:hint="eastAsia"/>
          <w:color w:val="000000"/>
        </w:rPr>
        <w:t>具有2 年以上证券、基金、期货、黄金、外汇等投资经历，或者具有2 年以上金融产品设计、投资、风险管理及相关工作经历</w:t>
      </w:r>
    </w:p>
    <w:p>
      <w:pPr>
        <w:pStyle w:val="6"/>
        <w:widowControl/>
        <w:spacing w:line="360" w:lineRule="auto"/>
        <w:ind w:left="707" w:leftChars="200" w:hanging="287" w:hangingChars="137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/>
        </w:rPr>
        <w:t xml:space="preserve"> </w:t>
      </w:r>
      <w:r>
        <w:rPr>
          <w:rFonts w:hint="eastAsia" w:cs="Calibri"/>
          <w:color w:val="000000"/>
          <w:szCs w:val="21"/>
        </w:rPr>
        <w:t>金融机构高级管理人员、获得职业资格认证的从事金融相关业务的注册会计师和律师（经有关金融监管部门批准设立的金融机构，包括证券公司、期货公司、基金管理公司及其子公司、商业银行、保险公司、信托公司、财务公司等；经行业协会备案或者登记的证券公司子公司、期货公司子公司、私募基金管理人）</w:t>
      </w:r>
    </w:p>
    <w:p>
      <w:pPr>
        <w:pStyle w:val="6"/>
        <w:widowControl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您的投资经验如何：</w:t>
      </w:r>
    </w:p>
    <w:p>
      <w:pPr>
        <w:widowControl/>
        <w:spacing w:line="360" w:lineRule="auto"/>
        <w:ind w:left="420"/>
        <w:rPr>
          <w:rFonts w:ascii="宋体" w:hAnsi="宋体" w:cs="宋体"/>
          <w:kern w:val="0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/>
        </w:rPr>
        <w:t xml:space="preserve"> 有限：除银行活期账户和定期存款外，基本没有其他投资经验</w:t>
      </w:r>
    </w:p>
    <w:p>
      <w:pPr>
        <w:widowControl/>
        <w:spacing w:line="360" w:lineRule="auto"/>
        <w:ind w:left="420"/>
        <w:rPr>
          <w:rFonts w:ascii="宋体" w:hAnsi="宋体" w:cs="宋体"/>
          <w:kern w:val="0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</w:rPr>
        <w:t xml:space="preserve"> </w:t>
      </w:r>
      <w:r>
        <w:rPr>
          <w:rFonts w:hint="eastAsia"/>
        </w:rPr>
        <w:t>一般：除银行活期账户和定期存款外，还买过国债、基金、保险中的低风险产品</w:t>
      </w:r>
      <w:r>
        <w:rPr>
          <w:rFonts w:hint="eastAsia" w:ascii="宋体" w:hAnsi="宋体" w:cs="宋体"/>
          <w:kern w:val="0"/>
        </w:rPr>
        <w:t>验</w:t>
      </w:r>
    </w:p>
    <w:p>
      <w:pPr>
        <w:widowControl/>
        <w:spacing w:line="360" w:lineRule="auto"/>
        <w:ind w:left="707" w:leftChars="201" w:hanging="285" w:hangingChars="136"/>
        <w:rPr>
          <w:rFonts w:ascii="宋体" w:hAnsi="宋体" w:cs="宋体"/>
          <w:kern w:val="0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MS Mincho" w:hAnsi="MS Mincho" w:cs="MS Mincho"/>
          <w:kern w:val="0"/>
        </w:rPr>
        <w:t xml:space="preserve"> </w:t>
      </w:r>
      <w:r>
        <w:rPr>
          <w:rFonts w:hint="eastAsia"/>
        </w:rPr>
        <w:t>丰富：有一定的投资经验，除投资于存款、低风险产品外，还购买过股票、基金等风险产品，但需要进一步的投资指导</w:t>
      </w:r>
    </w:p>
    <w:p>
      <w:pPr>
        <w:widowControl/>
        <w:spacing w:line="360" w:lineRule="auto"/>
        <w:ind w:left="705" w:leftChars="201" w:hanging="283" w:hangingChars="135"/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/>
        </w:rPr>
        <w:t xml:space="preserve"> 比较丰富：比较有经验的投资者，资产均衡地分布于存款、国债、银行理财产品、</w:t>
      </w:r>
      <w:r>
        <w:rPr>
          <w:rFonts w:hint="eastAsia" w:ascii="MS Gothic" w:hAnsi="MS Gothic" w:cs="宋体"/>
          <w:kern w:val="0"/>
          <w:lang w:val="en-US" w:eastAsia="zh-CN"/>
        </w:rPr>
        <w:t>信托</w:t>
      </w:r>
      <w:r>
        <w:rPr>
          <w:rFonts w:hint="eastAsia"/>
        </w:rPr>
        <w:t>产品、股票、基金、资产管理计划等，并倾向于自己做出投资决策</w:t>
      </w:r>
    </w:p>
    <w:p>
      <w:pPr>
        <w:widowControl/>
        <w:spacing w:line="360" w:lineRule="auto"/>
        <w:ind w:left="705" w:leftChars="199" w:hanging="287" w:hangingChars="137"/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/>
        </w:rPr>
        <w:t xml:space="preserve"> 非常丰富：非常有经验的投资者，大部分投资于股票、基金、外汇、资产管理计划等高风险产品，参与过权证、期货或创业板等高风险产品的交易</w:t>
      </w:r>
    </w:p>
    <w:p>
      <w:pPr>
        <w:pStyle w:val="6"/>
        <w:widowControl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您有多少年投资基金、股票、信托、私募证券或金融衍生产品等风险投资品的经验：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没有经验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少于2年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2至5年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5至10年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10年以上</w:t>
      </w:r>
    </w:p>
    <w:p>
      <w:pPr>
        <w:pStyle w:val="6"/>
        <w:widowControl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您可以承担的投资风险与期望收益为：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厌恶风险，不愿承受任何投资损失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保守投资，能够容忍少量本金损失，愿意承担一定幅度的收益波动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稳健投资，愿意接受短期亏损，但无法接受可能出现的大幅波动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寻求资金的较高收益和成长性，愿意为此承担有限本金损失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希望赚取高回报，能够接受长期波动，并愿意为此承担较大本金损失</w:t>
      </w:r>
    </w:p>
    <w:p>
      <w:pPr>
        <w:rPr>
          <w:rFonts w:ascii="宋体" w:hAnsi="宋体"/>
          <w:b/>
          <w:szCs w:val="21"/>
        </w:rPr>
      </w:pPr>
      <w:r>
        <w:rPr>
          <w:rFonts w:hint="eastAsia" w:ascii="宋体" w:hAnsi="宋体" w:cs="Times New Roman"/>
          <w:szCs w:val="22"/>
        </w:rPr>
        <w:t>【提示】为保障您的投资权益，您是否愿意并能够承受投资损失，是我们评估您的风险承受能力、确定您</w:t>
      </w:r>
      <w:r>
        <w:rPr>
          <w:rFonts w:hint="eastAsia" w:ascii="宋体" w:hAnsi="宋体" w:cs="Times New Roman"/>
          <w:szCs w:val="22"/>
          <w:lang w:eastAsia="zh-CN"/>
        </w:rPr>
        <w:t>的</w:t>
      </w:r>
      <w:r>
        <w:rPr>
          <w:rFonts w:hint="eastAsia" w:ascii="宋体" w:hAnsi="宋体" w:cs="Times New Roman"/>
          <w:szCs w:val="22"/>
        </w:rPr>
        <w:t>投资风险类型的重要依据，请您审慎填写。</w:t>
      </w:r>
    </w:p>
    <w:p>
      <w:pPr>
        <w:pStyle w:val="6"/>
        <w:widowControl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您计划</w:t>
      </w:r>
      <w:r>
        <w:rPr>
          <w:rFonts w:hint="eastAsia" w:ascii="宋体" w:hAnsi="宋体"/>
          <w:b/>
          <w:szCs w:val="21"/>
          <w:lang w:eastAsia="zh-CN"/>
        </w:rPr>
        <w:t>的</w:t>
      </w:r>
      <w:r>
        <w:rPr>
          <w:rFonts w:hint="eastAsia" w:ascii="宋体" w:hAnsi="宋体"/>
          <w:b/>
          <w:szCs w:val="21"/>
        </w:rPr>
        <w:t>投资期限为：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1年以下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1-3年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3-5年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5-10年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10年以上</w:t>
      </w:r>
    </w:p>
    <w:p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您的投资目的是：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资产保值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资产稳健增长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hint="default" w:ascii="宋体" w:hAnsi="宋体" w:eastAsia="宋体"/>
          <w:b/>
          <w:szCs w:val="21"/>
          <w:lang w:val="en-US" w:eastAsia="zh-CN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资产迅速增长</w:t>
      </w:r>
    </w:p>
    <w:p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您打算重点投资以下哪类投资品种（本题选项按排列顺序依次向上覆盖，如选择“最后一项”即表示可同时投资全部品种）：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货币市场基金及短期理财类产品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债券、债券基金等固定收益类投资品种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含固定收益及权益类投资的混合类投资品种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股票、股票型基金等权益类投资品种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期货、期权等金融衍生品或其他复杂或高风险金融产品</w:t>
      </w:r>
    </w:p>
    <w:p>
      <w:pPr>
        <w:pStyle w:val="6"/>
        <w:widowControl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如果您的投资在短期内下跌了20%，您会？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hint="eastAsia"/>
        </w:rPr>
        <w:t>立刻调整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hint="eastAsia"/>
        </w:rPr>
        <w:t>观察</w:t>
      </w:r>
      <w:r>
        <w:t>3个月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</w:t>
      </w:r>
      <w:r>
        <w:t>观察6个月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</w:t>
      </w:r>
      <w:r>
        <w:t>观察一年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</w:t>
      </w:r>
      <w:r>
        <w:t>不会调整</w:t>
      </w:r>
    </w:p>
    <w:p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假设有两种投资：投资 A 预期获得10%的收益，可能承担的损失非常小；投资 B 预期获得 30%的收益，但可能承担较大亏损。您会怎么支配您的投资：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全部投资于收益较小且风险较小的 A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</w:t>
      </w:r>
      <w:r>
        <w:t>同时投资于 A 和 B，但大部分资金投资于收益较小且风险较小的 A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</w:t>
      </w:r>
      <w:r>
        <w:t>同时投资于 A 和 B，</w:t>
      </w:r>
      <w:r>
        <w:rPr>
          <w:rFonts w:hint="eastAsia"/>
        </w:rPr>
        <w:t>且资金平均分配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</w:t>
      </w:r>
      <w:r>
        <w:t>同时投资于 A 和 B，但大部分资金投资于收益较大且风 险较大的 B</w:t>
      </w:r>
    </w:p>
    <w:p>
      <w:pPr>
        <w:pStyle w:val="6"/>
        <w:widowControl/>
        <w:spacing w:line="360" w:lineRule="auto"/>
        <w:ind w:left="420" w:leftChars="200" w:firstLine="0" w:firstLineChars="0"/>
        <w:rPr>
          <w:rFonts w:hint="eastAsia" w:ascii="宋体" w:hAnsi="宋体" w:cs="宋体"/>
          <w:kern w:val="0"/>
          <w:szCs w:val="21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 w:cs="宋体"/>
          <w:kern w:val="0"/>
          <w:szCs w:val="21"/>
        </w:rPr>
        <w:t xml:space="preserve"> </w:t>
      </w:r>
      <w:r>
        <w:t>全部投资于收益较大且风险较大的 B</w:t>
      </w:r>
    </w:p>
    <w:p>
      <w:pPr>
        <w:rPr>
          <w:rFonts w:hint="eastAsia" w:ascii="宋体" w:hAnsi="宋体"/>
          <w:b/>
          <w:u w:val="single"/>
        </w:rPr>
      </w:pPr>
      <w:r>
        <w:rPr>
          <w:rFonts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r>
        <w:rPr>
          <w:rFonts w:hint="eastAsia" w:asciiTheme="minorEastAsia" w:hAnsiTheme="minorEastAsia"/>
          <w:szCs w:val="21"/>
        </w:rPr>
        <w:softHyphen/>
      </w:r>
      <w:sdt>
        <w:sdtPr>
          <w:rPr>
            <w:rFonts w:hint="eastAsia" w:cs="宋体" w:asciiTheme="minorEastAsia" w:hAnsiTheme="minorEastAsia"/>
            <w:kern w:val="0"/>
            <w:szCs w:val="21"/>
          </w:rPr>
          <w:id w:val="-91855742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cs="宋体" w:asciiTheme="minorEastAsia" w:hAnsiTheme="minorEastAsia"/>
            <w:kern w:val="0"/>
            <w:szCs w:val="21"/>
          </w:rPr>
        </w:sdtEndPr>
        <w:sdtContent>
          <w:r>
            <w:rPr>
              <w:rFonts w:hint="eastAsia" w:ascii="MS Gothic" w:hAnsi="MS Gothic" w:eastAsia="MS Gothic" w:cs="宋体"/>
              <w:kern w:val="0"/>
              <w:sz w:val="21"/>
              <w:szCs w:val="21"/>
              <w:lang w:val="en-US" w:eastAsia="zh-CN" w:bidi="ar-SA"/>
            </w:rPr>
            <w:t>☐</w:t>
          </w:r>
        </w:sdtContent>
      </w:sdt>
      <w:bookmarkStart w:id="0" w:name="_GoBack"/>
      <w:bookmarkEnd w:id="0"/>
      <w:r>
        <w:rPr>
          <w:rFonts w:hint="eastAsia" w:ascii="宋体" w:hAnsi="宋体" w:cs="宋体"/>
          <w:b/>
          <w:kern w:val="0"/>
          <w:u w:val="single"/>
        </w:rPr>
        <w:t xml:space="preserve"> </w:t>
      </w:r>
      <w:r>
        <w:rPr>
          <w:rFonts w:hint="eastAsia" w:ascii="宋体" w:hAnsi="宋体"/>
          <w:b/>
          <w:u w:val="single"/>
        </w:rPr>
        <w:t>本人同意如所提供的信息发生重要变化，将及时告知博时财富更新相关信息，并重新评估风险承受能力的等级。</w:t>
      </w:r>
    </w:p>
    <w:p>
      <w:pPr>
        <w:rPr>
          <w:rFonts w:hint="eastAsia" w:ascii="宋体" w:hAnsi="宋体"/>
          <w:b/>
          <w:u w:val="single"/>
        </w:rPr>
      </w:pPr>
    </w:p>
    <w:p>
      <w:pPr>
        <w:rPr>
          <w:rFonts w:hint="eastAsia" w:asciiTheme="minorEastAsia" w:hAnsiTheme="minorEastAsia" w:eastAsiaTheme="minorEastAsia" w:cstheme="minorEastAsia"/>
          <w:szCs w:val="22"/>
        </w:rPr>
      </w:pPr>
      <w:r>
        <w:rPr>
          <w:rFonts w:hint="eastAsia" w:asciiTheme="minorEastAsia" w:hAnsiTheme="minorEastAsia" w:eastAsiaTheme="minorEastAsia" w:cstheme="minorEastAsia"/>
          <w:b/>
        </w:rPr>
        <w:t>【提示】</w:t>
      </w:r>
      <w:r>
        <w:rPr>
          <w:rFonts w:hint="eastAsia" w:asciiTheme="minorEastAsia" w:hAnsiTheme="minorEastAsia" w:eastAsiaTheme="minorEastAsia" w:cstheme="minorEastAsia"/>
          <w:b/>
          <w:lang w:val="en-US" w:eastAsia="zh-CN"/>
        </w:rPr>
        <w:t xml:space="preserve"> ：</w:t>
      </w:r>
      <w:r>
        <w:rPr>
          <w:rFonts w:hint="eastAsia" w:asciiTheme="minorEastAsia" w:hAnsiTheme="minorEastAsia" w:eastAsiaTheme="minorEastAsia" w:cstheme="minorEastAsia"/>
          <w:szCs w:val="22"/>
        </w:rPr>
        <w:t>本公司通过本问卷调查了解您的风险偏好和承受能力，根据您的选择综合评估您的投资风险类型。为保护您的投资权益，如您</w:t>
      </w:r>
      <w:r>
        <w:rPr>
          <w:rFonts w:hint="eastAsia" w:asciiTheme="minorEastAsia" w:hAnsiTheme="minorEastAsia" w:eastAsiaTheme="minorEastAsia" w:cstheme="minorEastAsia"/>
          <w:kern w:val="0"/>
          <w:szCs w:val="21"/>
        </w:rPr>
        <w:t>（普通投资者）</w:t>
      </w:r>
      <w:r>
        <w:rPr>
          <w:rFonts w:hint="eastAsia" w:asciiTheme="minorEastAsia" w:hAnsiTheme="minorEastAsia" w:eastAsiaTheme="minorEastAsia" w:cstheme="minorEastAsia"/>
          <w:szCs w:val="22"/>
        </w:rPr>
        <w:t>在第9题选择不希望承担任何投资损失的选项，我司将审慎确定您为最低风险承受类型，可购买低风险等级基金产品，不能购买超过您风险承受能力的基金产品。</w:t>
      </w:r>
    </w:p>
    <w:p>
      <w:pPr>
        <w:rPr>
          <w:rFonts w:hint="eastAsia" w:ascii="宋体" w:hAnsi="宋体" w:cs="Times New Roman"/>
          <w:szCs w:val="22"/>
        </w:rPr>
      </w:pPr>
    </w:p>
    <w:p>
      <w:pPr>
        <w:spacing w:line="276" w:lineRule="auto"/>
        <w:rPr>
          <w:rFonts w:hint="eastAsia" w:ascii="宋体" w:hAnsi="宋体"/>
          <w:b/>
        </w:rPr>
      </w:pPr>
    </w:p>
    <w:p>
      <w:pPr>
        <w:spacing w:line="276" w:lineRule="auto"/>
        <w:rPr>
          <w:rFonts w:hint="eastAsia"/>
          <w:b/>
          <w:sz w:val="24"/>
          <w:szCs w:val="24"/>
        </w:rPr>
      </w:pPr>
      <w:r>
        <w:rPr>
          <w:rFonts w:hint="eastAsia" w:ascii="宋体" w:hAnsi="宋体"/>
          <w:b/>
        </w:rPr>
        <w:t xml:space="preserve">投资者签字：    </w:t>
      </w:r>
      <w:r>
        <w:rPr>
          <w:rFonts w:hint="eastAsia"/>
          <w:b/>
          <w:sz w:val="24"/>
          <w:szCs w:val="24"/>
        </w:rPr>
        <w:t xml:space="preserve">                        </w:t>
      </w:r>
    </w:p>
    <w:p>
      <w:pPr>
        <w:rPr>
          <w:rFonts w:hint="eastAsia"/>
          <w:b/>
          <w:sz w:val="24"/>
          <w:szCs w:val="24"/>
        </w:rPr>
      </w:pPr>
    </w:p>
    <w:p>
      <w:pPr>
        <w:spacing w:line="276" w:lineRule="auto"/>
      </w:pPr>
      <w:r>
        <w:rPr>
          <w:rFonts w:hint="eastAsia" w:ascii="宋体" w:hAnsi="宋体"/>
          <w:b/>
        </w:rPr>
        <w:t>问卷填写日期：</w:t>
      </w:r>
      <w:r>
        <w:rPr>
          <w:rFonts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t>______年</w:t>
      </w:r>
      <w:r>
        <w:rPr>
          <w:rFonts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softHyphen/>
      </w:r>
      <w:r>
        <w:rPr>
          <w:rFonts w:hint="eastAsia" w:ascii="宋体" w:hAnsi="宋体"/>
          <w:b/>
        </w:rPr>
        <w:t>____月 ____日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Mincho">
    <w:altName w:val="MS Gothic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jc w:val="left"/>
    </w:pPr>
    <w:r>
      <w:drawing>
        <wp:inline distT="0" distB="0" distL="0" distR="0">
          <wp:extent cx="1264920" cy="323215"/>
          <wp:effectExtent l="0" t="0" r="11430" b="635"/>
          <wp:docPr id="30" name="图片 30" descr="C:\Users\cuid\Desktop\申报相关\博时财富logo\博时财富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30" descr="C:\Users\cuid\Desktop\申报相关\博时财富logo\博时财富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64920" cy="323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 w:cs="Times New Roman"/>
        <w:lang w:val="en-US" w:eastAsia="zh-CN"/>
      </w:rPr>
      <w:t xml:space="preserve">                                                     </w:t>
    </w:r>
    <w:r>
      <w:rPr>
        <w:rFonts w:hint="eastAsia" w:ascii="微软雅黑" w:hAnsi="微软雅黑" w:eastAsia="微软雅黑"/>
        <w:sz w:val="21"/>
      </w:rPr>
      <w:t>基金投资需谨慎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0D4492"/>
    <w:multiLevelType w:val="multilevel"/>
    <w:tmpl w:val="2B0D4492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C140F"/>
    <w:rsid w:val="01867333"/>
    <w:rsid w:val="01DA3F5C"/>
    <w:rsid w:val="020A7DE1"/>
    <w:rsid w:val="02FD799E"/>
    <w:rsid w:val="03124327"/>
    <w:rsid w:val="05443E9E"/>
    <w:rsid w:val="05776885"/>
    <w:rsid w:val="05FA6CDE"/>
    <w:rsid w:val="06387608"/>
    <w:rsid w:val="064B6820"/>
    <w:rsid w:val="087642A5"/>
    <w:rsid w:val="0A25524F"/>
    <w:rsid w:val="0A99382C"/>
    <w:rsid w:val="0C217EAE"/>
    <w:rsid w:val="0D31633E"/>
    <w:rsid w:val="0E726ADC"/>
    <w:rsid w:val="122C6312"/>
    <w:rsid w:val="125C7C32"/>
    <w:rsid w:val="12D7001F"/>
    <w:rsid w:val="12DF3C5C"/>
    <w:rsid w:val="12EB15F9"/>
    <w:rsid w:val="13225719"/>
    <w:rsid w:val="13301ED0"/>
    <w:rsid w:val="151A7133"/>
    <w:rsid w:val="16AE31C0"/>
    <w:rsid w:val="17CD4241"/>
    <w:rsid w:val="19B244A6"/>
    <w:rsid w:val="1BA57DFB"/>
    <w:rsid w:val="1F540602"/>
    <w:rsid w:val="206F4216"/>
    <w:rsid w:val="21803A5C"/>
    <w:rsid w:val="21B5361E"/>
    <w:rsid w:val="22F175D5"/>
    <w:rsid w:val="23143F1A"/>
    <w:rsid w:val="25790B92"/>
    <w:rsid w:val="27DD3746"/>
    <w:rsid w:val="281F7DE3"/>
    <w:rsid w:val="28223EA9"/>
    <w:rsid w:val="283E2A83"/>
    <w:rsid w:val="29946177"/>
    <w:rsid w:val="2CC305C1"/>
    <w:rsid w:val="2D261D21"/>
    <w:rsid w:val="306A64A1"/>
    <w:rsid w:val="30A668AE"/>
    <w:rsid w:val="316A201A"/>
    <w:rsid w:val="34143559"/>
    <w:rsid w:val="34863C07"/>
    <w:rsid w:val="34952420"/>
    <w:rsid w:val="34CC4C13"/>
    <w:rsid w:val="39137CB9"/>
    <w:rsid w:val="3AB6285E"/>
    <w:rsid w:val="3AE42858"/>
    <w:rsid w:val="3E637694"/>
    <w:rsid w:val="3F904752"/>
    <w:rsid w:val="3F966547"/>
    <w:rsid w:val="3FD0569A"/>
    <w:rsid w:val="4054309B"/>
    <w:rsid w:val="42776C42"/>
    <w:rsid w:val="42B37C84"/>
    <w:rsid w:val="459139B4"/>
    <w:rsid w:val="466843E6"/>
    <w:rsid w:val="46CA4BC2"/>
    <w:rsid w:val="475672BF"/>
    <w:rsid w:val="48802D84"/>
    <w:rsid w:val="48E54B58"/>
    <w:rsid w:val="4C971436"/>
    <w:rsid w:val="4F4F79AF"/>
    <w:rsid w:val="50E07E6E"/>
    <w:rsid w:val="5256581F"/>
    <w:rsid w:val="53BC140F"/>
    <w:rsid w:val="5580325B"/>
    <w:rsid w:val="58EC76E3"/>
    <w:rsid w:val="5B2C0E64"/>
    <w:rsid w:val="5C371920"/>
    <w:rsid w:val="5E842968"/>
    <w:rsid w:val="5EDD044E"/>
    <w:rsid w:val="5F196F23"/>
    <w:rsid w:val="5F461458"/>
    <w:rsid w:val="62A21F05"/>
    <w:rsid w:val="62BF48F4"/>
    <w:rsid w:val="64CB6ED9"/>
    <w:rsid w:val="652D3D83"/>
    <w:rsid w:val="655C16F2"/>
    <w:rsid w:val="664B6DF5"/>
    <w:rsid w:val="6736543B"/>
    <w:rsid w:val="6BE97EEF"/>
    <w:rsid w:val="6C2D74CC"/>
    <w:rsid w:val="6C9846B8"/>
    <w:rsid w:val="6CBE30F7"/>
    <w:rsid w:val="6CE348D0"/>
    <w:rsid w:val="718B0D07"/>
    <w:rsid w:val="71A23617"/>
    <w:rsid w:val="72F90EAF"/>
    <w:rsid w:val="73412C30"/>
    <w:rsid w:val="73832A5D"/>
    <w:rsid w:val="748002EF"/>
    <w:rsid w:val="7723746B"/>
    <w:rsid w:val="773E756E"/>
    <w:rsid w:val="782E166C"/>
    <w:rsid w:val="7AA33A57"/>
    <w:rsid w:val="7D835AA0"/>
    <w:rsid w:val="7E2937A7"/>
    <w:rsid w:val="7EA67A0D"/>
    <w:rsid w:val="7F15369C"/>
    <w:rsid w:val="7F85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2021-12-10T08:53:00Z</dcterms:created>
  <dc:creator>panhuan</dc:creator>
  <cp:lastModifiedBy>panhuan</cp:lastModifiedBy>
  <dcterms:modified xsi:type="dcterms:W3CDTF">2025-12-31T05:20:22Z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0F08141B2A604F4E9DE7E5AB7EDA715E</vt:lpwstr>
  </property>
</Properties>
</file>