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00" w:lineRule="auto"/>
        <w:jc w:val="center"/>
        <w:outlineLvl w:val="0"/>
        <w:rPr>
          <w:rFonts w:ascii="等线" w:hAnsi="等线"/>
          <w:b/>
          <w:sz w:val="32"/>
          <w:szCs w:val="32"/>
        </w:rPr>
      </w:pPr>
      <w:bookmarkStart w:id="0" w:name="_GoBack"/>
      <w:bookmarkEnd w:id="0"/>
      <w:r>
        <w:rPr>
          <w:rFonts w:hint="eastAsia" w:ascii="等线" w:hAnsi="等线"/>
          <w:b/>
          <w:sz w:val="32"/>
          <w:szCs w:val="32"/>
          <w:lang w:val="en-US" w:eastAsia="zh-CN"/>
        </w:rPr>
        <w:t>公募</w:t>
      </w:r>
      <w:r>
        <w:rPr>
          <w:rFonts w:ascii="等线" w:hAnsi="等线"/>
          <w:b/>
          <w:sz w:val="32"/>
          <w:szCs w:val="32"/>
        </w:rPr>
        <w:t>基金交易业务申请表</w:t>
      </w:r>
    </w:p>
    <w:p>
      <w:pPr>
        <w:keepNext w:val="0"/>
        <w:keepLines w:val="0"/>
        <w:pageBreakBefore w:val="0"/>
        <w:kinsoku/>
        <w:wordWrap/>
        <w:overflowPunct/>
        <w:topLinePunct w:val="0"/>
        <w:autoSpaceDE w:val="0"/>
        <w:autoSpaceDN w:val="0"/>
        <w:bidi w:val="0"/>
        <w:adjustRightInd w:val="0"/>
        <w:snapToGrid/>
        <w:spacing w:line="240" w:lineRule="auto"/>
        <w:jc w:val="both"/>
        <w:textAlignment w:val="auto"/>
        <w:outlineLvl w:val="0"/>
        <w:rPr>
          <w:rFonts w:hint="eastAsia" w:ascii="等线" w:hAnsi="等线"/>
          <w:b w:val="0"/>
          <w:bCs/>
          <w:sz w:val="18"/>
          <w:szCs w:val="18"/>
          <w:lang w:val="en-US" w:eastAsia="zh-CN"/>
        </w:rPr>
      </w:pPr>
      <w:r>
        <w:rPr>
          <w:rFonts w:hint="eastAsia" w:ascii="等线" w:hAnsi="等线"/>
          <w:b w:val="0"/>
          <w:bCs/>
          <w:sz w:val="18"/>
          <w:szCs w:val="18"/>
          <w:lang w:eastAsia="zh-CN"/>
        </w:rPr>
        <w:t>（</w:t>
      </w:r>
      <w:r>
        <w:rPr>
          <w:rFonts w:hint="eastAsia" w:ascii="等线" w:hAnsi="等线"/>
          <w:b w:val="0"/>
          <w:bCs/>
          <w:sz w:val="18"/>
          <w:szCs w:val="18"/>
          <w:lang w:val="en-US" w:eastAsia="zh-CN"/>
        </w:rPr>
        <w:t>请用黑色/蓝黑色签字笔填写，在</w:t>
      </w:r>
      <w:r>
        <w:rPr>
          <w:rFonts w:ascii="等线" w:hAnsi="等线"/>
          <w:b w:val="0"/>
          <w:bCs/>
          <w:sz w:val="18"/>
          <w:szCs w:val="18"/>
        </w:rPr>
        <w:t>□内划“√”，</w:t>
      </w:r>
      <w:r>
        <w:rPr>
          <w:rFonts w:hint="eastAsia" w:ascii="等线" w:hAnsi="等线"/>
          <w:b w:val="0"/>
          <w:bCs/>
          <w:sz w:val="18"/>
          <w:szCs w:val="18"/>
          <w:lang w:val="en-US" w:eastAsia="zh-CN"/>
        </w:rPr>
        <w:t>业务</w:t>
      </w:r>
      <w:r>
        <w:rPr>
          <w:rFonts w:ascii="等线" w:hAnsi="等线"/>
          <w:b w:val="0"/>
          <w:bCs/>
          <w:sz w:val="18"/>
          <w:szCs w:val="18"/>
        </w:rPr>
        <w:t>只能选一项</w:t>
      </w:r>
      <w:r>
        <w:rPr>
          <w:rFonts w:hint="eastAsia" w:ascii="等线" w:hAnsi="等线"/>
          <w:b w:val="0"/>
          <w:bCs/>
          <w:sz w:val="18"/>
          <w:szCs w:val="18"/>
        </w:rPr>
        <w:t>，但分红方式</w:t>
      </w:r>
      <w:r>
        <w:rPr>
          <w:rFonts w:hint="eastAsia" w:ascii="等线" w:hAnsi="等线"/>
          <w:b w:val="0"/>
          <w:bCs/>
          <w:sz w:val="18"/>
          <w:szCs w:val="18"/>
          <w:lang w:val="en-US" w:eastAsia="zh-CN"/>
        </w:rPr>
        <w:t>设置</w:t>
      </w:r>
      <w:r>
        <w:rPr>
          <w:rFonts w:hint="eastAsia" w:ascii="等线" w:hAnsi="等线"/>
          <w:b w:val="0"/>
          <w:bCs/>
          <w:sz w:val="18"/>
          <w:szCs w:val="18"/>
        </w:rPr>
        <w:t>可与其他业务同时办理</w:t>
      </w:r>
      <w:r>
        <w:rPr>
          <w:rFonts w:hint="eastAsia" w:ascii="等线" w:hAnsi="等线"/>
          <w:b w:val="0"/>
          <w:bCs/>
          <w:sz w:val="18"/>
          <w:szCs w:val="18"/>
          <w:lang w:eastAsia="zh-CN"/>
        </w:rPr>
        <w:t>，</w:t>
      </w:r>
      <w:r>
        <w:rPr>
          <w:rFonts w:hint="eastAsia" w:ascii="等线" w:hAnsi="等线"/>
          <w:b w:val="0"/>
          <w:bCs/>
          <w:sz w:val="18"/>
          <w:szCs w:val="18"/>
          <w:lang w:val="en-US" w:eastAsia="zh-CN"/>
        </w:rPr>
        <w:t>涂改作废。）</w:t>
      </w:r>
    </w:p>
    <w:tbl>
      <w:tblPr>
        <w:tblStyle w:val="6"/>
        <w:tblW w:w="10917" w:type="dxa"/>
        <w:tblInd w:w="-7" w:type="dxa"/>
        <w:tblLayout w:type="fixed"/>
        <w:tblCellMar>
          <w:top w:w="0" w:type="dxa"/>
          <w:left w:w="57" w:type="dxa"/>
          <w:bottom w:w="0" w:type="dxa"/>
          <w:right w:w="57" w:type="dxa"/>
        </w:tblCellMar>
      </w:tblPr>
      <w:tblGrid>
        <w:gridCol w:w="10917"/>
      </w:tblGrid>
      <w:tr>
        <w:tblPrEx>
          <w:tblCellMar>
            <w:top w:w="0" w:type="dxa"/>
            <w:left w:w="57" w:type="dxa"/>
            <w:bottom w:w="0" w:type="dxa"/>
            <w:right w:w="57" w:type="dxa"/>
          </w:tblCellMar>
        </w:tblPrEx>
        <w:trPr>
          <w:trHeight w:val="350" w:hRule="atLeast"/>
        </w:trPr>
        <w:tc>
          <w:tcPr>
            <w:tcW w:w="10917" w:type="dxa"/>
            <w:tcBorders>
              <w:top w:val="nil"/>
              <w:left w:val="nil"/>
              <w:bottom w:val="nil"/>
              <w:right w:val="nil"/>
            </w:tcBorders>
            <w:shd w:val="clear" w:color="auto" w:fill="auto"/>
            <w:vAlign w:val="center"/>
          </w:tcPr>
          <w:p>
            <w:pPr>
              <w:ind w:left="2520" w:hanging="2520"/>
              <w:rPr>
                <w:rFonts w:hint="default" w:ascii="等线" w:hAnsi="等线" w:eastAsia="宋体"/>
                <w:sz w:val="18"/>
                <w:szCs w:val="18"/>
                <w:u w:val="none"/>
                <w:lang w:val="en-US" w:eastAsia="zh-CN"/>
              </w:rPr>
            </w:pPr>
            <w:r>
              <w:rPr>
                <w:rFonts w:hint="eastAsia" w:ascii="等线" w:hAnsi="等线"/>
                <w:sz w:val="18"/>
                <w:szCs w:val="18"/>
                <w:u w:val="none"/>
                <w:lang w:val="en-US" w:eastAsia="zh-CN"/>
              </w:rPr>
              <w:t>投资者类别：</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个人 </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机构 </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产品</w:t>
            </w:r>
            <w:r>
              <w:rPr>
                <w:rFonts w:hint="eastAsia" w:ascii="宋体" w:hAnsi="宋体" w:cs="宋体"/>
                <w:color w:val="000000"/>
                <w:kern w:val="0"/>
                <w:sz w:val="18"/>
                <w:szCs w:val="18"/>
                <w:lang w:val="en-US" w:eastAsia="zh-CN"/>
              </w:rPr>
              <w:t xml:space="preserve">   </w:t>
            </w:r>
            <w:r>
              <w:rPr>
                <w:rFonts w:hint="eastAsia" w:ascii="等线" w:hAnsi="等线"/>
                <w:sz w:val="18"/>
                <w:szCs w:val="18"/>
                <w:u w:val="none"/>
                <w:lang w:val="en-US" w:eastAsia="zh-CN"/>
              </w:rPr>
              <w:t>投资者全称：</w:t>
            </w:r>
            <w:r>
              <w:rPr>
                <w:rFonts w:hint="eastAsia" w:ascii="等线" w:hAnsi="等线"/>
                <w:sz w:val="18"/>
                <w:szCs w:val="18"/>
                <w:u w:val="single"/>
                <w:lang w:val="en-US" w:eastAsia="zh-CN"/>
              </w:rPr>
              <w:t xml:space="preserve">                                 </w:t>
            </w:r>
            <w:r>
              <w:rPr>
                <w:rFonts w:hint="eastAsia" w:ascii="等线" w:hAnsi="等线"/>
                <w:sz w:val="18"/>
                <w:szCs w:val="18"/>
                <w:u w:val="none"/>
                <w:lang w:val="en-US" w:eastAsia="zh-CN"/>
              </w:rPr>
              <w:t xml:space="preserve">  交易账号：</w:t>
            </w:r>
            <w:r>
              <w:rPr>
                <w:rFonts w:hint="eastAsia" w:ascii="等线" w:hAnsi="等线"/>
                <w:sz w:val="18"/>
                <w:szCs w:val="18"/>
                <w:u w:val="single"/>
                <w:lang w:val="en-US" w:eastAsia="zh-CN"/>
              </w:rPr>
              <w:t xml:space="preserve">                        </w:t>
            </w:r>
            <w:r>
              <w:rPr>
                <w:rFonts w:hint="eastAsia" w:ascii="等线" w:hAnsi="等线"/>
                <w:sz w:val="18"/>
                <w:szCs w:val="18"/>
                <w:u w:val="none"/>
                <w:lang w:val="en-US" w:eastAsia="zh-CN"/>
              </w:rPr>
              <w:t xml:space="preserve">                                     </w:t>
            </w:r>
          </w:p>
        </w:tc>
      </w:tr>
      <w:tr>
        <w:tblPrEx>
          <w:tblCellMar>
            <w:top w:w="0" w:type="dxa"/>
            <w:left w:w="57" w:type="dxa"/>
            <w:bottom w:w="0" w:type="dxa"/>
            <w:right w:w="57" w:type="dxa"/>
          </w:tblCellMar>
        </w:tblPrEx>
        <w:trPr>
          <w:trHeight w:val="297" w:hRule="atLeast"/>
        </w:trPr>
        <w:tc>
          <w:tcPr>
            <w:tcW w:w="10917" w:type="dxa"/>
            <w:tcBorders>
              <w:top w:val="nil"/>
              <w:left w:val="nil"/>
              <w:bottom w:val="single" w:color="000000" w:sz="12" w:space="0"/>
              <w:right w:val="nil"/>
            </w:tcBorders>
            <w:shd w:val="clear" w:color="auto" w:fill="auto"/>
            <w:vAlign w:val="center"/>
          </w:tcPr>
          <w:p>
            <w:pPr>
              <w:ind w:left="2520" w:hanging="2520"/>
              <w:rPr>
                <w:rFonts w:hint="default" w:ascii="等线" w:hAnsi="等线"/>
                <w:sz w:val="18"/>
                <w:szCs w:val="18"/>
                <w:u w:val="single"/>
                <w:lang w:val="en-US" w:eastAsia="zh-CN"/>
              </w:rPr>
            </w:pPr>
            <w:r>
              <w:rPr>
                <w:rFonts w:hint="eastAsia" w:ascii="等线" w:hAnsi="等线"/>
                <w:sz w:val="18"/>
                <w:szCs w:val="18"/>
                <w:u w:val="none"/>
                <w:lang w:val="en-US" w:eastAsia="zh-CN"/>
              </w:rPr>
              <w:t>经（代）办人姓名：</w:t>
            </w:r>
            <w:r>
              <w:rPr>
                <w:rFonts w:ascii="等线" w:hAnsi="等线"/>
                <w:sz w:val="18"/>
                <w:szCs w:val="18"/>
                <w:u w:val="single"/>
              </w:rPr>
              <w:t>　　　　　　</w:t>
            </w:r>
            <w:r>
              <w:rPr>
                <w:rFonts w:hint="eastAsia" w:ascii="等线" w:hAnsi="等线"/>
                <w:sz w:val="18"/>
                <w:szCs w:val="18"/>
                <w:u w:val="single"/>
                <w:lang w:val="en-US" w:eastAsia="zh-CN"/>
              </w:rPr>
              <w:t xml:space="preserve">     </w:t>
            </w:r>
            <w:r>
              <w:rPr>
                <w:rFonts w:hint="eastAsia" w:ascii="等线" w:hAnsi="等线"/>
                <w:sz w:val="18"/>
                <w:szCs w:val="18"/>
                <w:u w:val="none"/>
                <w:lang w:val="en-US" w:eastAsia="zh-CN"/>
              </w:rPr>
              <w:t xml:space="preserve">    证件类型：</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r>
              <w:rPr>
                <w:rFonts w:hint="eastAsia" w:ascii="等线" w:hAnsi="等线"/>
                <w:sz w:val="18"/>
                <w:szCs w:val="18"/>
                <w:u w:val="none"/>
                <w:lang w:val="en-US" w:eastAsia="zh-CN"/>
              </w:rPr>
              <w:t xml:space="preserve">    经（代）办人证件号码： </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p>
        </w:tc>
      </w:tr>
      <w:tr>
        <w:tblPrEx>
          <w:tblCellMar>
            <w:top w:w="0" w:type="dxa"/>
            <w:left w:w="57" w:type="dxa"/>
            <w:bottom w:w="0" w:type="dxa"/>
            <w:right w:w="57" w:type="dxa"/>
          </w:tblCellMar>
        </w:tblPrEx>
        <w:trPr>
          <w:trHeight w:val="132" w:hRule="atLeast"/>
        </w:trPr>
        <w:tc>
          <w:tcPr>
            <w:tcW w:w="10917" w:type="dxa"/>
            <w:tcBorders>
              <w:top w:val="single" w:color="000000" w:sz="12" w:space="0"/>
              <w:left w:val="single" w:color="000000" w:sz="12" w:space="0"/>
              <w:bottom w:val="nil"/>
              <w:right w:val="single" w:color="000000" w:sz="12" w:space="0"/>
            </w:tcBorders>
            <w:shd w:val="clear" w:color="auto" w:fill="auto"/>
            <w:vAlign w:val="center"/>
          </w:tcPr>
          <w:p>
            <w:pPr>
              <w:ind w:left="0" w:firstLine="0"/>
              <w:rPr>
                <w:rFonts w:hint="eastAsia" w:ascii="宋体" w:hAnsi="宋体" w:cs="宋体"/>
                <w:sz w:val="18"/>
                <w:szCs w:val="18"/>
                <w:u w:val="none"/>
                <w:lang w:val="en-US" w:eastAsia="zh-CN"/>
              </w:rPr>
            </w:pPr>
            <w:r>
              <w:rPr>
                <w:rFonts w:hint="eastAsia"/>
                <w:b/>
                <w:bCs/>
                <w:sz w:val="18"/>
                <w:szCs w:val="18"/>
                <w:u w:val="none"/>
                <w:lang w:val="en-US" w:eastAsia="zh-CN"/>
              </w:rPr>
              <w:t>*</w:t>
            </w:r>
            <w:r>
              <w:rPr>
                <w:rFonts w:hint="default" w:ascii="等线" w:hAnsi="等线"/>
                <w:b/>
                <w:bCs/>
                <w:sz w:val="18"/>
                <w:szCs w:val="18"/>
                <w:u w:val="none"/>
                <w:lang w:val="en-US" w:eastAsia="zh-CN"/>
              </w:rPr>
              <w:t>风险提示：</w:t>
            </w:r>
            <w:r>
              <w:rPr>
                <w:rFonts w:hint="eastAsia" w:ascii="等线" w:hAnsi="等线"/>
                <w:b w:val="0"/>
                <w:bCs w:val="0"/>
                <w:sz w:val="18"/>
                <w:szCs w:val="18"/>
                <w:u w:val="none"/>
                <w:lang w:val="en-US" w:eastAsia="zh-CN"/>
              </w:rPr>
              <w:t>①</w:t>
            </w:r>
            <w:r>
              <w:rPr>
                <w:rFonts w:hint="eastAsia"/>
                <w:b w:val="0"/>
                <w:bCs w:val="0"/>
                <w:sz w:val="18"/>
                <w:szCs w:val="18"/>
                <w:u w:val="none"/>
                <w:lang w:val="en-US" w:eastAsia="zh-CN"/>
              </w:rPr>
              <w:t>风险承受能力最低类别的投资人只能购买与自身风险承受能力相匹配的产品；</w:t>
            </w:r>
          </w:p>
        </w:tc>
      </w:tr>
      <w:tr>
        <w:tblPrEx>
          <w:tblCellMar>
            <w:top w:w="0" w:type="dxa"/>
            <w:left w:w="57" w:type="dxa"/>
            <w:bottom w:w="0" w:type="dxa"/>
            <w:right w:w="57" w:type="dxa"/>
          </w:tblCellMar>
        </w:tblPrEx>
        <w:trPr>
          <w:trHeight w:val="240" w:hRule="atLeast"/>
        </w:trPr>
        <w:tc>
          <w:tcPr>
            <w:tcW w:w="10917" w:type="dxa"/>
            <w:tcBorders>
              <w:top w:val="nil"/>
              <w:left w:val="single" w:color="000000" w:sz="12" w:space="0"/>
              <w:bottom w:val="single" w:color="000000" w:sz="12" w:space="0"/>
              <w:right w:val="single" w:color="000000" w:sz="12" w:space="0"/>
            </w:tcBorders>
            <w:shd w:val="clear" w:color="auto" w:fill="auto"/>
            <w:vAlign w:val="center"/>
          </w:tcPr>
          <w:p>
            <w:pPr>
              <w:ind w:left="0" w:firstLine="0"/>
              <w:rPr>
                <w:rFonts w:hint="eastAsia"/>
                <w:b w:val="0"/>
                <w:bCs w:val="0"/>
                <w:sz w:val="18"/>
                <w:szCs w:val="18"/>
                <w:u w:val="none"/>
                <w:lang w:val="en-US" w:eastAsia="zh-CN"/>
              </w:rPr>
            </w:pPr>
            <w:r>
              <w:rPr>
                <w:rFonts w:hint="eastAsia"/>
                <w:b w:val="0"/>
                <w:bCs w:val="0"/>
                <w:sz w:val="18"/>
                <w:szCs w:val="18"/>
                <w:u w:val="none"/>
                <w:lang w:val="en-US" w:eastAsia="zh-CN"/>
              </w:rPr>
              <w:t xml:space="preserve">           ②</w:t>
            </w:r>
            <w:r>
              <w:rPr>
                <w:rFonts w:ascii="等线" w:hAnsi="等线"/>
                <w:b w:val="0"/>
                <w:bCs w:val="0"/>
                <w:sz w:val="18"/>
                <w:szCs w:val="18"/>
              </w:rPr>
              <w:t>如您认/申购的基金</w:t>
            </w:r>
            <w:r>
              <w:rPr>
                <w:rFonts w:hint="eastAsia" w:ascii="等线" w:hAnsi="等线"/>
                <w:b w:val="0"/>
                <w:bCs w:val="0"/>
                <w:sz w:val="18"/>
                <w:szCs w:val="18"/>
                <w:lang w:val="en-US" w:eastAsia="zh-CN"/>
              </w:rPr>
              <w:t>或转换入的基金</w:t>
            </w:r>
            <w:r>
              <w:rPr>
                <w:rFonts w:ascii="等线" w:hAnsi="等线"/>
                <w:b w:val="0"/>
                <w:bCs w:val="0"/>
                <w:sz w:val="18"/>
                <w:szCs w:val="18"/>
              </w:rPr>
              <w:t>风险等级</w:t>
            </w:r>
            <w:r>
              <w:rPr>
                <w:rFonts w:hint="eastAsia" w:ascii="等线" w:hAnsi="等线"/>
                <w:b w:val="0"/>
                <w:bCs w:val="0"/>
                <w:sz w:val="18"/>
                <w:szCs w:val="18"/>
                <w:lang w:val="en-US" w:eastAsia="zh-CN"/>
              </w:rPr>
              <w:t>与</w:t>
            </w:r>
            <w:r>
              <w:rPr>
                <w:rFonts w:ascii="等线" w:hAnsi="等线"/>
                <w:b w:val="0"/>
                <w:bCs w:val="0"/>
                <w:sz w:val="18"/>
                <w:szCs w:val="18"/>
              </w:rPr>
              <w:t>您的风险</w:t>
            </w:r>
            <w:r>
              <w:rPr>
                <w:rFonts w:hint="eastAsia" w:ascii="等线" w:hAnsi="等线"/>
                <w:b w:val="0"/>
                <w:bCs w:val="0"/>
                <w:sz w:val="18"/>
                <w:szCs w:val="18"/>
                <w:lang w:val="en-US" w:eastAsia="zh-CN"/>
              </w:rPr>
              <w:t>承受能力不一致</w:t>
            </w:r>
            <w:r>
              <w:rPr>
                <w:rFonts w:ascii="等线" w:hAnsi="等线"/>
                <w:b w:val="0"/>
                <w:bCs w:val="0"/>
                <w:sz w:val="18"/>
                <w:szCs w:val="18"/>
              </w:rPr>
              <w:t>，是否继续</w:t>
            </w:r>
            <w:r>
              <w:rPr>
                <w:rFonts w:hint="eastAsia" w:ascii="等线" w:hAnsi="等线"/>
                <w:b w:val="0"/>
                <w:bCs w:val="0"/>
                <w:sz w:val="18"/>
                <w:szCs w:val="18"/>
                <w:lang w:val="en-US" w:eastAsia="zh-CN"/>
              </w:rPr>
              <w:t>交易</w:t>
            </w:r>
            <w:r>
              <w:rPr>
                <w:rFonts w:ascii="等线" w:hAnsi="等线"/>
                <w:b w:val="0"/>
                <w:bCs w:val="0"/>
                <w:sz w:val="18"/>
                <w:szCs w:val="18"/>
              </w:rPr>
              <w:t>：□是</w:t>
            </w:r>
            <w:r>
              <w:rPr>
                <w:rFonts w:hint="eastAsia" w:ascii="等线" w:hAnsi="等线"/>
                <w:b w:val="0"/>
                <w:bCs w:val="0"/>
                <w:sz w:val="18"/>
                <w:szCs w:val="18"/>
              </w:rPr>
              <w:t xml:space="preserve"> </w:t>
            </w:r>
            <w:r>
              <w:rPr>
                <w:rFonts w:ascii="等线" w:hAnsi="等线"/>
                <w:b w:val="0"/>
                <w:bCs w:val="0"/>
                <w:sz w:val="18"/>
                <w:szCs w:val="18"/>
              </w:rPr>
              <w:t>□否（不</w:t>
            </w:r>
            <w:r>
              <w:rPr>
                <w:rFonts w:hint="eastAsia" w:ascii="等线" w:hAnsi="等线"/>
                <w:b w:val="0"/>
                <w:bCs w:val="0"/>
                <w:sz w:val="18"/>
                <w:szCs w:val="18"/>
                <w:lang w:val="en-US" w:eastAsia="zh-CN"/>
              </w:rPr>
              <w:t>选</w:t>
            </w:r>
            <w:r>
              <w:rPr>
                <w:rFonts w:ascii="等线" w:hAnsi="等线"/>
                <w:b w:val="0"/>
                <w:bCs w:val="0"/>
                <w:sz w:val="18"/>
                <w:szCs w:val="18"/>
              </w:rPr>
              <w:t>则默认为“是”</w:t>
            </w:r>
            <w:r>
              <w:rPr>
                <w:rFonts w:hint="eastAsia" w:ascii="等线" w:hAnsi="等线"/>
                <w:b w:val="0"/>
                <w:bCs w:val="0"/>
                <w:sz w:val="18"/>
                <w:szCs w:val="18"/>
                <w:lang w:eastAsia="zh-CN"/>
              </w:rPr>
              <w:t>）</w:t>
            </w:r>
          </w:p>
        </w:tc>
      </w:tr>
    </w:tbl>
    <w:tbl>
      <w:tblPr>
        <w:tblStyle w:val="6"/>
        <w:tblpPr w:leftFromText="180" w:rightFromText="180" w:vertAnchor="text" w:horzAnchor="page" w:tblpX="714" w:tblpY="9"/>
        <w:tblOverlap w:val="never"/>
        <w:tblW w:w="10897" w:type="dxa"/>
        <w:tblInd w:w="0" w:type="dxa"/>
        <w:tblLayout w:type="fixed"/>
        <w:tblCellMar>
          <w:top w:w="0" w:type="dxa"/>
          <w:left w:w="57" w:type="dxa"/>
          <w:bottom w:w="0" w:type="dxa"/>
          <w:right w:w="57" w:type="dxa"/>
        </w:tblCellMar>
      </w:tblPr>
      <w:tblGrid>
        <w:gridCol w:w="1602"/>
        <w:gridCol w:w="3935"/>
        <w:gridCol w:w="5360"/>
      </w:tblGrid>
      <w:tr>
        <w:tblPrEx>
          <w:tblCellMar>
            <w:top w:w="0" w:type="dxa"/>
            <w:left w:w="57" w:type="dxa"/>
            <w:bottom w:w="0" w:type="dxa"/>
            <w:right w:w="57" w:type="dxa"/>
          </w:tblCellMar>
        </w:tblPrEx>
        <w:trPr>
          <w:trHeight w:val="974" w:hRule="atLeast"/>
        </w:trPr>
        <w:tc>
          <w:tcPr>
            <w:tcW w:w="1602" w:type="dxa"/>
            <w:tcBorders>
              <w:top w:val="nil"/>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u w:val="single"/>
              </w:rPr>
            </w:pPr>
            <w:r>
              <w:rPr>
                <w:rFonts w:hint="eastAsia" w:ascii="等线" w:hAnsi="等线"/>
                <w:b w:val="0"/>
                <w:bCs/>
                <w:sz w:val="18"/>
                <w:szCs w:val="18"/>
                <w:lang w:eastAsia="zh-CN"/>
              </w:rPr>
              <w:t>□</w:t>
            </w:r>
            <w:r>
              <w:rPr>
                <w:rFonts w:ascii="等线" w:hAnsi="等线"/>
                <w:b/>
                <w:sz w:val="18"/>
                <w:szCs w:val="18"/>
              </w:rPr>
              <w:t>认购/申购</w:t>
            </w:r>
          </w:p>
        </w:tc>
        <w:tc>
          <w:tcPr>
            <w:tcW w:w="3935" w:type="dxa"/>
            <w:tcBorders>
              <w:top w:val="nil"/>
              <w:left w:val="single" w:color="auto" w:sz="12" w:space="0"/>
              <w:bottom w:val="nil"/>
            </w:tcBorders>
            <w:shd w:val="clear" w:color="auto" w:fill="auto"/>
            <w:vAlign w:val="center"/>
          </w:tcPr>
          <w:p>
            <w:pPr>
              <w:ind w:left="0" w:firstLine="0"/>
              <w:rPr>
                <w:rFonts w:ascii="等线" w:hAnsi="等线"/>
                <w:sz w:val="18"/>
                <w:szCs w:val="18"/>
              </w:rPr>
            </w:pPr>
            <w:r>
              <w:rPr>
                <w:rFonts w:ascii="等线" w:hAnsi="等线"/>
                <w:sz w:val="18"/>
                <w:szCs w:val="18"/>
              </w:rPr>
              <w:t>基金代码：</w:t>
            </w:r>
            <w:r>
              <w:rPr>
                <w:rFonts w:ascii="等线" w:hAnsi="等线"/>
                <w:sz w:val="18"/>
                <w:szCs w:val="18"/>
                <w:u w:val="single"/>
              </w:rPr>
              <w:t>　　　　　　　　　　</w:t>
            </w:r>
          </w:p>
          <w:p>
            <w:pPr>
              <w:ind w:left="2520" w:hanging="2520"/>
              <w:rPr>
                <w:rFonts w:ascii="等线" w:hAnsi="等线"/>
                <w:sz w:val="18"/>
                <w:szCs w:val="18"/>
                <w:u w:val="single"/>
              </w:rPr>
            </w:pPr>
            <w:r>
              <w:rPr>
                <w:rFonts w:ascii="等线" w:hAnsi="等线"/>
                <w:sz w:val="18"/>
                <w:szCs w:val="18"/>
              </w:rPr>
              <w:t>基金名称：</w:t>
            </w:r>
            <w:r>
              <w:rPr>
                <w:rFonts w:ascii="等线" w:hAnsi="等线"/>
                <w:sz w:val="18"/>
                <w:szCs w:val="18"/>
                <w:u w:val="single"/>
              </w:rPr>
              <w:t>　　　　　　　　　　</w:t>
            </w:r>
          </w:p>
        </w:tc>
        <w:tc>
          <w:tcPr>
            <w:tcW w:w="5360" w:type="dxa"/>
            <w:tcBorders>
              <w:top w:val="nil"/>
              <w:left w:val="nil"/>
              <w:bottom w:val="nil"/>
              <w:right w:val="single" w:color="auto" w:sz="12" w:space="0"/>
            </w:tcBorders>
            <w:shd w:val="clear" w:color="auto" w:fill="auto"/>
            <w:vAlign w:val="center"/>
          </w:tcPr>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280"/>
              <w:gridCol w:w="280"/>
              <w:gridCol w:w="280"/>
              <w:gridCol w:w="280"/>
              <w:gridCol w:w="280"/>
              <w:gridCol w:w="280"/>
              <w:gridCol w:w="280"/>
              <w:gridCol w:w="280"/>
              <w:gridCol w:w="280"/>
              <w:gridCol w:w="280"/>
              <w:gridCol w:w="280"/>
              <w:gridCol w:w="280"/>
              <w:gridCol w:w="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tcBorders>
                    <w:top w:val="nil"/>
                  </w:tcBorders>
                  <w:shd w:val="solid" w:color="D9D9D9" w:fill="auto"/>
                </w:tcPr>
                <w:p>
                  <w:pPr>
                    <w:ind w:left="2520" w:hanging="2520"/>
                    <w:jc w:val="center"/>
                    <w:rPr>
                      <w:rFonts w:ascii="等线" w:hAnsi="等线"/>
                      <w:sz w:val="18"/>
                      <w:szCs w:val="18"/>
                    </w:rPr>
                  </w:pPr>
                  <w:r>
                    <w:rPr>
                      <w:rFonts w:hint="eastAsia" w:ascii="等线" w:hAnsi="等线"/>
                      <w:sz w:val="18"/>
                      <w:szCs w:val="18"/>
                      <w:lang w:val="en-US" w:eastAsia="zh-CN"/>
                    </w:rPr>
                    <w:t>申请</w:t>
                  </w:r>
                  <w:r>
                    <w:rPr>
                      <w:rFonts w:ascii="等线" w:hAnsi="等线"/>
                      <w:sz w:val="18"/>
                      <w:szCs w:val="18"/>
                    </w:rPr>
                    <w:t>金额</w:t>
                  </w:r>
                </w:p>
              </w:tc>
              <w:tc>
                <w:tcPr>
                  <w:tcW w:w="280" w:type="dxa"/>
                  <w:shd w:val="solid" w:color="D9D9D9" w:fill="auto"/>
                </w:tcPr>
                <w:p>
                  <w:pPr>
                    <w:ind w:left="2520" w:hanging="2520"/>
                    <w:jc w:val="center"/>
                    <w:rPr>
                      <w:rFonts w:ascii="等线" w:hAnsi="等线"/>
                      <w:sz w:val="18"/>
                      <w:szCs w:val="18"/>
                    </w:rPr>
                  </w:pPr>
                  <w:r>
                    <w:rPr>
                      <w:rFonts w:hint="eastAsia" w:ascii="等线" w:hAnsi="等线"/>
                      <w:sz w:val="18"/>
                      <w:szCs w:val="18"/>
                      <w:lang w:val="en-US" w:eastAsia="zh-CN"/>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亿</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万</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元</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角</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大写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小写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bl>
          <w:p>
            <w:pPr>
              <w:ind w:left="2520" w:hanging="2520"/>
              <w:jc w:val="right"/>
              <w:rPr>
                <w:rFonts w:ascii="等线" w:hAnsi="等线"/>
                <w:sz w:val="18"/>
                <w:szCs w:val="18"/>
                <w:u w:val="single"/>
              </w:rPr>
            </w:pPr>
          </w:p>
        </w:tc>
      </w:tr>
      <w:tr>
        <w:tblPrEx>
          <w:tblCellMar>
            <w:top w:w="0" w:type="dxa"/>
            <w:left w:w="57" w:type="dxa"/>
            <w:bottom w:w="0" w:type="dxa"/>
            <w:right w:w="57" w:type="dxa"/>
          </w:tblCellMar>
        </w:tblPrEx>
        <w:trPr>
          <w:trHeight w:val="910" w:hRule="atLeast"/>
        </w:trPr>
        <w:tc>
          <w:tcPr>
            <w:tcW w:w="1602" w:type="dxa"/>
            <w:vMerge w:val="restart"/>
            <w:tcBorders>
              <w:top w:val="single" w:color="auto" w:sz="12" w:space="0"/>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rPr>
            </w:pPr>
            <w:r>
              <w:rPr>
                <w:rFonts w:ascii="等线" w:hAnsi="等线"/>
                <w:b/>
                <w:sz w:val="18"/>
                <w:szCs w:val="18"/>
              </w:rPr>
              <w:t>□赎回</w:t>
            </w:r>
          </w:p>
        </w:tc>
        <w:tc>
          <w:tcPr>
            <w:tcW w:w="3935" w:type="dxa"/>
            <w:tcBorders>
              <w:top w:val="single" w:color="auto" w:sz="12" w:space="0"/>
              <w:left w:val="single" w:color="auto" w:sz="12" w:space="0"/>
            </w:tcBorders>
            <w:shd w:val="clear" w:color="auto" w:fill="auto"/>
            <w:vAlign w:val="center"/>
          </w:tcPr>
          <w:p>
            <w:pPr>
              <w:ind w:left="0" w:firstLine="0"/>
              <w:rPr>
                <w:rFonts w:ascii="等线" w:hAnsi="等线"/>
                <w:sz w:val="18"/>
                <w:szCs w:val="18"/>
              </w:rPr>
            </w:pPr>
            <w:r>
              <w:rPr>
                <w:rFonts w:ascii="等线" w:hAnsi="等线"/>
                <w:sz w:val="18"/>
                <w:szCs w:val="18"/>
              </w:rPr>
              <w:t>基金代码：</w:t>
            </w:r>
            <w:r>
              <w:rPr>
                <w:rFonts w:ascii="等线" w:hAnsi="等线"/>
                <w:sz w:val="18"/>
                <w:szCs w:val="18"/>
                <w:u w:val="single"/>
              </w:rPr>
              <w:t>　　　　　　　　　　</w:t>
            </w:r>
          </w:p>
          <w:p>
            <w:pPr>
              <w:ind w:left="2520" w:hanging="2520"/>
              <w:rPr>
                <w:rFonts w:ascii="等线" w:hAnsi="等线"/>
                <w:sz w:val="18"/>
                <w:szCs w:val="18"/>
                <w:u w:val="single"/>
              </w:rPr>
            </w:pPr>
            <w:r>
              <w:rPr>
                <w:rFonts w:ascii="等线" w:hAnsi="等线"/>
                <w:sz w:val="18"/>
                <w:szCs w:val="18"/>
              </w:rPr>
              <w:t>基金名称：</w:t>
            </w:r>
            <w:r>
              <w:rPr>
                <w:rFonts w:ascii="等线" w:hAnsi="等线"/>
                <w:sz w:val="18"/>
                <w:szCs w:val="18"/>
                <w:u w:val="single"/>
              </w:rPr>
              <w:t>　　　　　　　　　　</w:t>
            </w:r>
          </w:p>
        </w:tc>
        <w:tc>
          <w:tcPr>
            <w:tcW w:w="5360" w:type="dxa"/>
            <w:tcBorders>
              <w:top w:val="single" w:color="auto" w:sz="12" w:space="0"/>
              <w:left w:val="nil"/>
              <w:right w:val="single" w:color="auto" w:sz="12" w:space="0"/>
            </w:tcBorders>
            <w:shd w:val="clear" w:color="auto" w:fill="auto"/>
            <w:vAlign w:val="center"/>
          </w:tcPr>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280"/>
              <w:gridCol w:w="280"/>
              <w:gridCol w:w="280"/>
              <w:gridCol w:w="280"/>
              <w:gridCol w:w="280"/>
              <w:gridCol w:w="280"/>
              <w:gridCol w:w="280"/>
              <w:gridCol w:w="280"/>
              <w:gridCol w:w="280"/>
              <w:gridCol w:w="280"/>
              <w:gridCol w:w="280"/>
              <w:gridCol w:w="280"/>
              <w:gridCol w:w="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solid" w:color="D9D9D9" w:fill="auto"/>
                </w:tcPr>
                <w:p>
                  <w:pPr>
                    <w:ind w:left="2520" w:hanging="2520"/>
                    <w:jc w:val="center"/>
                    <w:rPr>
                      <w:rFonts w:ascii="等线" w:hAnsi="等线"/>
                      <w:sz w:val="18"/>
                      <w:szCs w:val="18"/>
                    </w:rPr>
                  </w:pPr>
                  <w:r>
                    <w:rPr>
                      <w:rFonts w:hint="eastAsia" w:ascii="等线" w:hAnsi="等线"/>
                      <w:sz w:val="18"/>
                      <w:szCs w:val="18"/>
                      <w:lang w:val="en-US" w:eastAsia="zh-CN"/>
                    </w:rPr>
                    <w:t>申请</w:t>
                  </w:r>
                  <w:r>
                    <w:rPr>
                      <w:rFonts w:ascii="等线" w:hAnsi="等线"/>
                      <w:sz w:val="18"/>
                      <w:szCs w:val="18"/>
                    </w:rPr>
                    <w:t>份额</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亿</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万</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份</w:t>
                  </w:r>
                </w:p>
              </w:tc>
              <w:tc>
                <w:tcPr>
                  <w:tcW w:w="280" w:type="dxa"/>
                  <w:shd w:val="solid" w:color="D9D9D9" w:fill="auto"/>
                  <w:vAlign w:val="top"/>
                </w:tcPr>
                <w:p>
                  <w:pPr>
                    <w:ind w:left="2520" w:leftChars="0" w:hanging="2520" w:firstLineChars="0"/>
                    <w:jc w:val="center"/>
                    <w:rPr>
                      <w:rFonts w:ascii="等线" w:hAnsi="等线"/>
                      <w:sz w:val="18"/>
                      <w:szCs w:val="18"/>
                    </w:rPr>
                  </w:pPr>
                </w:p>
              </w:tc>
              <w:tc>
                <w:tcPr>
                  <w:tcW w:w="280" w:type="dxa"/>
                  <w:shd w:val="solid" w:color="D9D9D9" w:fill="auto"/>
                  <w:vAlign w:val="top"/>
                </w:tcPr>
                <w:p>
                  <w:pPr>
                    <w:ind w:left="2520" w:leftChars="0" w:hanging="2520" w:firstLineChars="0"/>
                    <w:jc w:val="center"/>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大写</w:t>
                  </w: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小写</w:t>
                  </w: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c>
                <w:tcPr>
                  <w:tcW w:w="280" w:type="dxa"/>
                  <w:shd w:val="clear" w:color="auto" w:fill="auto"/>
                  <w:vAlign w:val="top"/>
                </w:tcPr>
                <w:p>
                  <w:pPr>
                    <w:ind w:left="2520" w:leftChars="0" w:hanging="2520" w:firstLineChars="0"/>
                    <w:rPr>
                      <w:rFonts w:ascii="等线" w:hAnsi="等线"/>
                      <w:sz w:val="18"/>
                      <w:szCs w:val="18"/>
                    </w:rPr>
                  </w:pPr>
                </w:p>
              </w:tc>
            </w:tr>
          </w:tbl>
          <w:p>
            <w:pPr>
              <w:ind w:left="2520" w:hanging="2520"/>
              <w:rPr>
                <w:rFonts w:ascii="等线" w:hAnsi="等线"/>
                <w:sz w:val="18"/>
                <w:szCs w:val="18"/>
                <w:u w:val="single"/>
              </w:rPr>
            </w:pPr>
          </w:p>
        </w:tc>
      </w:tr>
      <w:tr>
        <w:tblPrEx>
          <w:tblCellMar>
            <w:top w:w="0" w:type="dxa"/>
            <w:left w:w="57" w:type="dxa"/>
            <w:bottom w:w="0" w:type="dxa"/>
            <w:right w:w="57" w:type="dxa"/>
          </w:tblCellMar>
        </w:tblPrEx>
        <w:trPr>
          <w:trHeight w:val="271" w:hRule="atLeast"/>
        </w:trPr>
        <w:tc>
          <w:tcPr>
            <w:tcW w:w="1602" w:type="dxa"/>
            <w:vMerge w:val="continue"/>
            <w:tcBorders>
              <w:top w:val="single" w:color="auto" w:sz="12" w:space="0"/>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rPr>
            </w:pPr>
          </w:p>
        </w:tc>
        <w:tc>
          <w:tcPr>
            <w:tcW w:w="9295" w:type="dxa"/>
            <w:gridSpan w:val="2"/>
            <w:tcBorders>
              <w:left w:val="single" w:color="auto" w:sz="12" w:space="0"/>
              <w:bottom w:val="single" w:color="auto" w:sz="12" w:space="0"/>
              <w:right w:val="single" w:color="auto" w:sz="12" w:space="0"/>
            </w:tcBorders>
            <w:shd w:val="clear" w:color="auto" w:fill="auto"/>
            <w:vAlign w:val="center"/>
          </w:tcPr>
          <w:p>
            <w:pPr>
              <w:ind w:left="2520" w:hanging="2520"/>
              <w:jc w:val="left"/>
              <w:rPr>
                <w:rFonts w:ascii="等线" w:hAnsi="等线"/>
                <w:sz w:val="18"/>
                <w:szCs w:val="18"/>
              </w:rPr>
            </w:pPr>
            <w:r>
              <w:rPr>
                <w:rFonts w:hint="eastAsia" w:ascii="等线" w:hAnsi="等线"/>
                <w:b w:val="0"/>
                <w:bCs w:val="0"/>
                <w:sz w:val="18"/>
                <w:szCs w:val="18"/>
                <w:lang w:val="en-US" w:eastAsia="zh-CN"/>
              </w:rPr>
              <w:t>*</w:t>
            </w:r>
            <w:r>
              <w:rPr>
                <w:rFonts w:ascii="等线" w:hAnsi="等线"/>
                <w:b w:val="0"/>
                <w:bCs w:val="0"/>
                <w:sz w:val="18"/>
                <w:szCs w:val="18"/>
              </w:rPr>
              <w:t>如发生巨额赎回</w:t>
            </w:r>
            <w:r>
              <w:rPr>
                <w:rFonts w:hint="eastAsia" w:ascii="等线" w:hAnsi="等线"/>
                <w:b w:val="0"/>
                <w:bCs w:val="0"/>
                <w:sz w:val="18"/>
                <w:szCs w:val="18"/>
                <w:lang w:val="en-US" w:eastAsia="zh-CN"/>
              </w:rPr>
              <w:t>时</w:t>
            </w:r>
            <w:r>
              <w:rPr>
                <w:rFonts w:ascii="等线" w:hAnsi="等线"/>
                <w:b w:val="0"/>
                <w:bCs w:val="0"/>
                <w:sz w:val="18"/>
                <w:szCs w:val="18"/>
              </w:rPr>
              <w:t>未成交部分</w:t>
            </w:r>
            <w:r>
              <w:rPr>
                <w:rFonts w:hint="eastAsia" w:ascii="等线" w:hAnsi="等线"/>
                <w:b w:val="0"/>
                <w:bCs w:val="0"/>
                <w:sz w:val="18"/>
                <w:szCs w:val="18"/>
                <w:lang w:val="en-US" w:eastAsia="zh-CN"/>
              </w:rPr>
              <w:t>处理方式</w:t>
            </w:r>
            <w:r>
              <w:rPr>
                <w:rFonts w:ascii="等线" w:hAnsi="等线"/>
                <w:b w:val="0"/>
                <w:bCs w:val="0"/>
                <w:sz w:val="18"/>
                <w:szCs w:val="18"/>
              </w:rPr>
              <w:t>：□</w:t>
            </w:r>
            <w:r>
              <w:rPr>
                <w:rFonts w:hint="eastAsia" w:ascii="等线" w:hAnsi="等线"/>
                <w:b w:val="0"/>
                <w:bCs w:val="0"/>
                <w:sz w:val="18"/>
                <w:szCs w:val="18"/>
                <w:lang w:val="en-US" w:eastAsia="zh-CN"/>
              </w:rPr>
              <w:t>放弃</w:t>
            </w:r>
            <w:r>
              <w:rPr>
                <w:rFonts w:ascii="等线" w:hAnsi="等线"/>
                <w:b w:val="0"/>
                <w:bCs w:val="0"/>
                <w:sz w:val="18"/>
                <w:szCs w:val="18"/>
              </w:rPr>
              <w:t>　□</w:t>
            </w:r>
            <w:r>
              <w:rPr>
                <w:rFonts w:hint="eastAsia" w:ascii="等线" w:hAnsi="等线"/>
                <w:b w:val="0"/>
                <w:bCs w:val="0"/>
                <w:sz w:val="18"/>
                <w:szCs w:val="18"/>
                <w:lang w:val="en-US" w:eastAsia="zh-CN"/>
              </w:rPr>
              <w:t>顺延</w:t>
            </w:r>
            <w:r>
              <w:rPr>
                <w:rFonts w:ascii="等线" w:hAnsi="等线"/>
                <w:b w:val="0"/>
                <w:bCs w:val="0"/>
                <w:sz w:val="18"/>
                <w:szCs w:val="18"/>
              </w:rPr>
              <w:t>（不</w:t>
            </w:r>
            <w:r>
              <w:rPr>
                <w:rFonts w:hint="eastAsia" w:ascii="等线" w:hAnsi="等线"/>
                <w:b w:val="0"/>
                <w:bCs w:val="0"/>
                <w:sz w:val="18"/>
                <w:szCs w:val="18"/>
                <w:lang w:val="en-US" w:eastAsia="zh-CN"/>
              </w:rPr>
              <w:t>勾选</w:t>
            </w:r>
            <w:r>
              <w:rPr>
                <w:rFonts w:ascii="等线" w:hAnsi="等线"/>
                <w:b w:val="0"/>
                <w:bCs w:val="0"/>
                <w:sz w:val="18"/>
                <w:szCs w:val="18"/>
              </w:rPr>
              <w:t>则默认为“</w:t>
            </w:r>
            <w:r>
              <w:rPr>
                <w:rFonts w:hint="eastAsia" w:ascii="等线" w:hAnsi="等线"/>
                <w:b w:val="0"/>
                <w:bCs w:val="0"/>
                <w:sz w:val="18"/>
                <w:szCs w:val="18"/>
                <w:lang w:val="en-US" w:eastAsia="zh-CN"/>
              </w:rPr>
              <w:t>顺延</w:t>
            </w:r>
            <w:r>
              <w:rPr>
                <w:rFonts w:ascii="等线" w:hAnsi="等线"/>
                <w:b w:val="0"/>
                <w:bCs w:val="0"/>
                <w:sz w:val="18"/>
                <w:szCs w:val="18"/>
              </w:rPr>
              <w:t>”）</w:t>
            </w:r>
          </w:p>
        </w:tc>
      </w:tr>
      <w:tr>
        <w:tblPrEx>
          <w:tblCellMar>
            <w:top w:w="0" w:type="dxa"/>
            <w:left w:w="57" w:type="dxa"/>
            <w:bottom w:w="0" w:type="dxa"/>
            <w:right w:w="57" w:type="dxa"/>
          </w:tblCellMar>
        </w:tblPrEx>
        <w:trPr>
          <w:trHeight w:val="1723" w:hRule="atLeast"/>
        </w:trPr>
        <w:tc>
          <w:tcPr>
            <w:tcW w:w="1602" w:type="dxa"/>
            <w:tcBorders>
              <w:top w:val="single" w:color="auto" w:sz="12" w:space="0"/>
              <w:left w:val="single" w:color="auto" w:sz="12" w:space="0"/>
              <w:bottom w:val="single" w:color="auto" w:sz="12" w:space="0"/>
              <w:right w:val="single" w:color="auto" w:sz="12" w:space="0"/>
            </w:tcBorders>
            <w:shd w:val="clear" w:color="auto" w:fill="auto"/>
            <w:vAlign w:val="center"/>
          </w:tcPr>
          <w:p>
            <w:pPr>
              <w:ind w:left="0" w:firstLine="0"/>
              <w:rPr>
                <w:rFonts w:ascii="等线" w:hAnsi="等线"/>
                <w:b/>
                <w:sz w:val="18"/>
                <w:szCs w:val="18"/>
              </w:rPr>
            </w:pPr>
            <w:r>
              <w:rPr>
                <w:rFonts w:ascii="等线" w:hAnsi="等线"/>
                <w:b/>
                <w:sz w:val="18"/>
                <w:szCs w:val="18"/>
              </w:rPr>
              <w:t>□基金转换</w:t>
            </w:r>
          </w:p>
          <w:p>
            <w:pPr>
              <w:ind w:left="0" w:firstLine="0"/>
              <w:rPr>
                <w:rFonts w:ascii="等线" w:hAnsi="等线"/>
                <w:b/>
                <w:sz w:val="18"/>
                <w:szCs w:val="18"/>
              </w:rPr>
            </w:pPr>
            <w:r>
              <w:rPr>
                <w:rFonts w:ascii="等线" w:hAnsi="等线"/>
                <w:b/>
                <w:sz w:val="18"/>
                <w:szCs w:val="18"/>
              </w:rPr>
              <w:t>□</w:t>
            </w:r>
            <w:r>
              <w:rPr>
                <w:rFonts w:hint="eastAsia" w:ascii="等线" w:hAnsi="等线"/>
                <w:b/>
                <w:sz w:val="18"/>
                <w:szCs w:val="18"/>
              </w:rPr>
              <w:t>赎回转认/申购</w:t>
            </w:r>
            <w:r>
              <w:rPr>
                <w:rFonts w:hint="eastAsia" w:ascii="等线" w:hAnsi="等线" w:eastAsia="宋体" w:cs="Times New Roman"/>
                <w:b w:val="0"/>
                <w:bCs/>
                <w:sz w:val="15"/>
                <w:szCs w:val="15"/>
              </w:rPr>
              <w:t>（如遇巨额赎回，选择将当日未获确认部分：□顺延 □</w:t>
            </w:r>
            <w:r>
              <w:rPr>
                <w:rFonts w:hint="eastAsia" w:ascii="等线" w:hAnsi="等线" w:cs="Times New Roman"/>
                <w:b w:val="0"/>
                <w:bCs/>
                <w:sz w:val="15"/>
                <w:szCs w:val="15"/>
                <w:lang w:val="en-US" w:eastAsia="zh-CN"/>
              </w:rPr>
              <w:t>放弃</w:t>
            </w:r>
            <w:r>
              <w:rPr>
                <w:rFonts w:hint="eastAsia" w:ascii="等线" w:hAnsi="等线" w:eastAsia="宋体" w:cs="Times New Roman"/>
                <w:b w:val="0"/>
                <w:bCs/>
                <w:sz w:val="15"/>
                <w:szCs w:val="15"/>
              </w:rPr>
              <w:t>）</w:t>
            </w:r>
          </w:p>
        </w:tc>
        <w:tc>
          <w:tcPr>
            <w:tcW w:w="3935" w:type="dxa"/>
            <w:tcBorders>
              <w:top w:val="single" w:color="auto" w:sz="12" w:space="0"/>
              <w:left w:val="single" w:color="auto" w:sz="12" w:space="0"/>
              <w:bottom w:val="nil"/>
            </w:tcBorders>
            <w:shd w:val="clear" w:color="auto" w:fill="auto"/>
            <w:vAlign w:val="center"/>
          </w:tcPr>
          <w:p>
            <w:pPr>
              <w:rPr>
                <w:rFonts w:ascii="等线" w:hAnsi="等线"/>
                <w:sz w:val="18"/>
                <w:szCs w:val="18"/>
              </w:rPr>
            </w:pPr>
            <w:r>
              <w:rPr>
                <w:rFonts w:ascii="等线" w:hAnsi="等线"/>
                <w:sz w:val="18"/>
                <w:szCs w:val="18"/>
              </w:rPr>
              <w:t>转出基金代码：</w:t>
            </w:r>
            <w:r>
              <w:rPr>
                <w:rFonts w:ascii="等线" w:hAnsi="等线"/>
                <w:sz w:val="18"/>
                <w:szCs w:val="18"/>
                <w:u w:val="single"/>
              </w:rPr>
              <w:t>　　　　　　　　　　</w:t>
            </w:r>
          </w:p>
          <w:p>
            <w:pPr>
              <w:ind w:left="2520" w:hanging="2520"/>
              <w:rPr>
                <w:rFonts w:ascii="等线" w:hAnsi="等线"/>
                <w:sz w:val="18"/>
                <w:szCs w:val="18"/>
                <w:u w:val="single"/>
              </w:rPr>
            </w:pPr>
            <w:r>
              <w:rPr>
                <w:rFonts w:ascii="等线" w:hAnsi="等线"/>
                <w:sz w:val="18"/>
                <w:szCs w:val="18"/>
              </w:rPr>
              <w:t>转出基金名称：</w:t>
            </w:r>
            <w:r>
              <w:rPr>
                <w:rFonts w:ascii="等线" w:hAnsi="等线"/>
                <w:sz w:val="18"/>
                <w:szCs w:val="18"/>
                <w:u w:val="single"/>
              </w:rPr>
              <w:t>　　　　　　　　　　</w:t>
            </w:r>
          </w:p>
          <w:p>
            <w:pPr>
              <w:ind w:left="2520" w:hanging="2520"/>
              <w:rPr>
                <w:rFonts w:ascii="等线" w:hAnsi="等线"/>
                <w:sz w:val="18"/>
                <w:szCs w:val="18"/>
                <w:u w:val="single"/>
              </w:rPr>
            </w:pPr>
            <w:r>
              <w:rPr>
                <w:rFonts w:ascii="等线" w:hAnsi="等线"/>
                <w:sz w:val="18"/>
                <w:szCs w:val="18"/>
              </w:rPr>
              <w:t>转入基金代码：</w:t>
            </w:r>
            <w:r>
              <w:rPr>
                <w:rFonts w:ascii="等线" w:hAnsi="等线"/>
                <w:sz w:val="18"/>
                <w:szCs w:val="18"/>
                <w:u w:val="single"/>
              </w:rPr>
              <w:t>　　　　　　　　　　</w:t>
            </w:r>
          </w:p>
          <w:p>
            <w:pPr>
              <w:ind w:left="2520" w:hanging="2520"/>
              <w:rPr>
                <w:rFonts w:ascii="等线" w:hAnsi="等线"/>
                <w:b/>
                <w:sz w:val="18"/>
                <w:szCs w:val="18"/>
                <w:u w:val="single"/>
              </w:rPr>
            </w:pPr>
            <w:r>
              <w:rPr>
                <w:rFonts w:ascii="等线" w:hAnsi="等线"/>
                <w:sz w:val="18"/>
                <w:szCs w:val="18"/>
              </w:rPr>
              <w:t>转入基金名称：</w:t>
            </w:r>
            <w:r>
              <w:rPr>
                <w:rFonts w:ascii="等线" w:hAnsi="等线"/>
                <w:sz w:val="18"/>
                <w:szCs w:val="18"/>
                <w:u w:val="single"/>
              </w:rPr>
              <w:t>　　　　　　　　　　</w:t>
            </w:r>
          </w:p>
        </w:tc>
        <w:tc>
          <w:tcPr>
            <w:tcW w:w="5360" w:type="dxa"/>
            <w:tcBorders>
              <w:top w:val="single" w:color="auto" w:sz="12" w:space="0"/>
              <w:bottom w:val="nil"/>
              <w:right w:val="single" w:color="auto" w:sz="12" w:space="0"/>
            </w:tcBorders>
            <w:shd w:val="clear" w:color="auto" w:fill="auto"/>
            <w:vAlign w:val="center"/>
          </w:tcPr>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280"/>
              <w:gridCol w:w="280"/>
              <w:gridCol w:w="280"/>
              <w:gridCol w:w="280"/>
              <w:gridCol w:w="280"/>
              <w:gridCol w:w="280"/>
              <w:gridCol w:w="280"/>
              <w:gridCol w:w="280"/>
              <w:gridCol w:w="280"/>
              <w:gridCol w:w="280"/>
              <w:gridCol w:w="280"/>
              <w:gridCol w:w="280"/>
              <w:gridCol w:w="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5" w:hRule="exact"/>
              </w:trPr>
              <w:tc>
                <w:tcPr>
                  <w:tcW w:w="771" w:type="dxa"/>
                  <w:shd w:val="solid" w:color="D9D9D9" w:fill="auto"/>
                </w:tcPr>
                <w:p>
                  <w:pPr>
                    <w:ind w:left="2520" w:hanging="2520"/>
                    <w:jc w:val="center"/>
                    <w:rPr>
                      <w:rFonts w:ascii="等线" w:hAnsi="等线"/>
                      <w:sz w:val="18"/>
                      <w:szCs w:val="18"/>
                    </w:rPr>
                  </w:pPr>
                  <w:r>
                    <w:rPr>
                      <w:rFonts w:hint="eastAsia" w:ascii="等线" w:hAnsi="等线"/>
                      <w:sz w:val="18"/>
                      <w:szCs w:val="18"/>
                      <w:lang w:val="en-US" w:eastAsia="zh-CN"/>
                    </w:rPr>
                    <w:t>申请</w:t>
                  </w:r>
                  <w:r>
                    <w:rPr>
                      <w:rFonts w:ascii="等线" w:hAnsi="等线"/>
                      <w:sz w:val="18"/>
                      <w:szCs w:val="18"/>
                    </w:rPr>
                    <w:t>份额</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亿</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万</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份</w:t>
                  </w:r>
                </w:p>
              </w:tc>
              <w:tc>
                <w:tcPr>
                  <w:tcW w:w="280" w:type="dxa"/>
                  <w:shd w:val="solid" w:color="D9D9D9" w:fill="auto"/>
                </w:tcPr>
                <w:p>
                  <w:pPr>
                    <w:ind w:left="2520" w:hanging="2520"/>
                    <w:jc w:val="center"/>
                    <w:rPr>
                      <w:rFonts w:ascii="等线" w:hAnsi="等线"/>
                      <w:sz w:val="18"/>
                      <w:szCs w:val="18"/>
                    </w:rPr>
                  </w:pPr>
                </w:p>
              </w:tc>
              <w:tc>
                <w:tcPr>
                  <w:tcW w:w="280" w:type="dxa"/>
                  <w:shd w:val="solid" w:color="D9D9D9" w:fill="auto"/>
                </w:tcPr>
                <w:p>
                  <w:pPr>
                    <w:ind w:left="2520" w:hanging="2520"/>
                    <w:jc w:val="center"/>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大写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小写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bl>
          <w:p>
            <w:pPr>
              <w:ind w:left="2520" w:hanging="2520"/>
              <w:rPr>
                <w:rFonts w:ascii="等线" w:hAnsi="等线"/>
                <w:sz w:val="18"/>
                <w:szCs w:val="18"/>
                <w:u w:val="single"/>
              </w:rPr>
            </w:pPr>
          </w:p>
        </w:tc>
      </w:tr>
      <w:tr>
        <w:tblPrEx>
          <w:tblCellMar>
            <w:top w:w="0" w:type="dxa"/>
            <w:left w:w="57" w:type="dxa"/>
            <w:bottom w:w="0" w:type="dxa"/>
            <w:right w:w="57" w:type="dxa"/>
          </w:tblCellMar>
        </w:tblPrEx>
        <w:trPr>
          <w:trHeight w:val="1290" w:hRule="atLeast"/>
        </w:trPr>
        <w:tc>
          <w:tcPr>
            <w:tcW w:w="1602" w:type="dxa"/>
            <w:vMerge w:val="restart"/>
            <w:tcBorders>
              <w:top w:val="single" w:color="auto" w:sz="12" w:space="0"/>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rPr>
            </w:pPr>
            <w:r>
              <w:rPr>
                <w:rFonts w:ascii="等线" w:hAnsi="等线"/>
                <w:b/>
                <w:sz w:val="18"/>
                <w:szCs w:val="18"/>
              </w:rPr>
              <w:t>□基金转托管</w:t>
            </w:r>
          </w:p>
        </w:tc>
        <w:tc>
          <w:tcPr>
            <w:tcW w:w="3935" w:type="dxa"/>
            <w:tcBorders>
              <w:top w:val="single" w:color="auto" w:sz="12" w:space="0"/>
              <w:left w:val="single" w:color="auto" w:sz="12" w:space="0"/>
            </w:tcBorders>
            <w:shd w:val="clear" w:color="auto" w:fill="auto"/>
            <w:vAlign w:val="center"/>
          </w:tcPr>
          <w:p>
            <w:pPr>
              <w:ind w:left="2520" w:hanging="2520"/>
              <w:rPr>
                <w:rFonts w:ascii="等线" w:hAnsi="等线"/>
                <w:sz w:val="18"/>
                <w:szCs w:val="18"/>
              </w:rPr>
            </w:pPr>
            <w:r>
              <w:rPr>
                <w:rFonts w:ascii="等线" w:hAnsi="等线"/>
                <w:sz w:val="18"/>
                <w:szCs w:val="18"/>
              </w:rPr>
              <w:t>基金代码：</w:t>
            </w:r>
            <w:r>
              <w:rPr>
                <w:rFonts w:ascii="等线" w:hAnsi="等线"/>
                <w:sz w:val="18"/>
                <w:szCs w:val="18"/>
                <w:u w:val="single"/>
              </w:rPr>
              <w:t>　　　　　　　　　　</w:t>
            </w:r>
          </w:p>
          <w:p>
            <w:pPr>
              <w:ind w:left="2520" w:hanging="2520"/>
              <w:rPr>
                <w:rFonts w:ascii="等线" w:hAnsi="等线"/>
                <w:sz w:val="18"/>
                <w:szCs w:val="18"/>
                <w:u w:val="single"/>
              </w:rPr>
            </w:pPr>
            <w:r>
              <w:rPr>
                <w:rFonts w:ascii="等线" w:hAnsi="等线"/>
                <w:sz w:val="18"/>
                <w:szCs w:val="18"/>
              </w:rPr>
              <w:t>基金名称：</w:t>
            </w:r>
            <w:r>
              <w:rPr>
                <w:rFonts w:ascii="等线" w:hAnsi="等线"/>
                <w:sz w:val="18"/>
                <w:szCs w:val="18"/>
                <w:u w:val="single"/>
              </w:rPr>
              <w:t>　　　　　　　　　　</w:t>
            </w:r>
          </w:p>
          <w:p>
            <w:pPr>
              <w:ind w:left="2520" w:hanging="2520"/>
              <w:rPr>
                <w:rFonts w:ascii="等线" w:hAnsi="等线"/>
                <w:sz w:val="18"/>
                <w:szCs w:val="18"/>
              </w:rPr>
            </w:pPr>
            <w:r>
              <w:rPr>
                <w:rFonts w:ascii="等线" w:hAnsi="等线"/>
                <w:sz w:val="18"/>
                <w:szCs w:val="18"/>
              </w:rPr>
              <w:t>申请：</w:t>
            </w:r>
            <w:r>
              <w:rPr>
                <w:rFonts w:ascii="等线" w:hAnsi="等线"/>
                <w:b/>
                <w:sz w:val="18"/>
                <w:szCs w:val="18"/>
              </w:rPr>
              <w:t>□</w:t>
            </w:r>
            <w:r>
              <w:rPr>
                <w:rFonts w:ascii="等线" w:hAnsi="等线"/>
                <w:sz w:val="18"/>
                <w:szCs w:val="18"/>
              </w:rPr>
              <w:t>托管转出　□托管转入　□一步转托管</w:t>
            </w:r>
          </w:p>
          <w:p>
            <w:pPr>
              <w:ind w:left="2520" w:hanging="2520"/>
              <w:rPr>
                <w:rFonts w:hint="default" w:ascii="等线" w:hAnsi="等线" w:eastAsia="宋体"/>
                <w:sz w:val="18"/>
                <w:szCs w:val="18"/>
                <w:lang w:val="en-US" w:eastAsia="zh-CN"/>
              </w:rPr>
            </w:pPr>
            <w:r>
              <w:rPr>
                <w:rFonts w:hint="eastAsia" w:ascii="等线" w:hAnsi="等线"/>
                <w:sz w:val="18"/>
                <w:szCs w:val="18"/>
                <w:lang w:val="en-US" w:eastAsia="zh-CN"/>
              </w:rPr>
              <w:t>申请编号：（托管转入时请填写）：</w:t>
            </w:r>
            <w:r>
              <w:rPr>
                <w:rFonts w:hint="eastAsia" w:ascii="等线" w:hAnsi="等线"/>
                <w:sz w:val="18"/>
                <w:szCs w:val="18"/>
                <w:u w:val="single"/>
                <w:lang w:val="en-US" w:eastAsia="zh-CN"/>
              </w:rPr>
              <w:t xml:space="preserve">                               </w:t>
            </w:r>
            <w:r>
              <w:rPr>
                <w:rFonts w:hint="eastAsia" w:ascii="等线" w:hAnsi="等线"/>
                <w:sz w:val="18"/>
                <w:szCs w:val="18"/>
                <w:lang w:val="en-US" w:eastAsia="zh-CN"/>
              </w:rPr>
              <w:t xml:space="preserve">              </w:t>
            </w:r>
          </w:p>
        </w:tc>
        <w:tc>
          <w:tcPr>
            <w:tcW w:w="5360" w:type="dxa"/>
            <w:tcBorders>
              <w:top w:val="single" w:color="auto" w:sz="12" w:space="0"/>
              <w:right w:val="single" w:color="auto" w:sz="12" w:space="0"/>
            </w:tcBorders>
            <w:shd w:val="clear" w:color="auto" w:fill="auto"/>
            <w:vAlign w:val="center"/>
          </w:tcPr>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280"/>
              <w:gridCol w:w="280"/>
              <w:gridCol w:w="280"/>
              <w:gridCol w:w="280"/>
              <w:gridCol w:w="280"/>
              <w:gridCol w:w="280"/>
              <w:gridCol w:w="280"/>
              <w:gridCol w:w="280"/>
              <w:gridCol w:w="280"/>
              <w:gridCol w:w="280"/>
              <w:gridCol w:w="280"/>
              <w:gridCol w:w="280"/>
              <w:gridCol w:w="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solid" w:color="D9D9D9" w:fill="auto"/>
                </w:tcPr>
                <w:p>
                  <w:pPr>
                    <w:ind w:left="2520" w:hanging="2520"/>
                    <w:jc w:val="center"/>
                    <w:rPr>
                      <w:rFonts w:ascii="等线" w:hAnsi="等线"/>
                      <w:sz w:val="18"/>
                      <w:szCs w:val="18"/>
                    </w:rPr>
                  </w:pPr>
                  <w:r>
                    <w:rPr>
                      <w:rFonts w:hint="eastAsia" w:ascii="等线" w:hAnsi="等线"/>
                      <w:sz w:val="18"/>
                      <w:szCs w:val="18"/>
                      <w:lang w:val="en-US" w:eastAsia="zh-CN"/>
                    </w:rPr>
                    <w:t>申请</w:t>
                  </w:r>
                  <w:r>
                    <w:rPr>
                      <w:rFonts w:ascii="等线" w:hAnsi="等线"/>
                      <w:sz w:val="18"/>
                      <w:szCs w:val="18"/>
                    </w:rPr>
                    <w:t>份额</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亿</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万</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仟</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佰</w:t>
                  </w:r>
                </w:p>
              </w:tc>
              <w:tc>
                <w:tcPr>
                  <w:tcW w:w="280" w:type="dxa"/>
                  <w:shd w:val="solid" w:color="D9D9D9" w:fill="auto"/>
                  <w:vAlign w:val="top"/>
                </w:tcPr>
                <w:p>
                  <w:pPr>
                    <w:ind w:left="2520" w:leftChars="0" w:hanging="2520" w:firstLineChars="0"/>
                    <w:jc w:val="center"/>
                    <w:rPr>
                      <w:rFonts w:ascii="等线" w:hAnsi="等线"/>
                      <w:sz w:val="18"/>
                      <w:szCs w:val="18"/>
                    </w:rPr>
                  </w:pPr>
                  <w:r>
                    <w:rPr>
                      <w:rFonts w:ascii="等线" w:hAnsi="等线"/>
                      <w:sz w:val="18"/>
                      <w:szCs w:val="18"/>
                    </w:rPr>
                    <w:t>拾</w:t>
                  </w:r>
                </w:p>
              </w:tc>
              <w:tc>
                <w:tcPr>
                  <w:tcW w:w="280" w:type="dxa"/>
                  <w:shd w:val="solid" w:color="D9D9D9" w:fill="auto"/>
                  <w:vAlign w:val="top"/>
                </w:tcPr>
                <w:p>
                  <w:pPr>
                    <w:ind w:left="2520" w:leftChars="0" w:hanging="2520" w:firstLineChars="0"/>
                    <w:jc w:val="center"/>
                    <w:rPr>
                      <w:rFonts w:ascii="等线" w:hAnsi="等线"/>
                      <w:sz w:val="18"/>
                      <w:szCs w:val="18"/>
                    </w:rPr>
                  </w:pPr>
                  <w:r>
                    <w:rPr>
                      <w:rFonts w:hint="eastAsia" w:ascii="等线" w:hAnsi="等线"/>
                      <w:sz w:val="18"/>
                      <w:szCs w:val="18"/>
                      <w:lang w:val="en-US" w:eastAsia="zh-CN"/>
                    </w:rPr>
                    <w:t>份</w:t>
                  </w:r>
                </w:p>
              </w:tc>
              <w:tc>
                <w:tcPr>
                  <w:tcW w:w="280" w:type="dxa"/>
                  <w:shd w:val="solid" w:color="D9D9D9" w:fill="auto"/>
                </w:tcPr>
                <w:p>
                  <w:pPr>
                    <w:ind w:left="2520" w:hanging="2520"/>
                    <w:jc w:val="center"/>
                    <w:rPr>
                      <w:rFonts w:ascii="等线" w:hAnsi="等线"/>
                      <w:sz w:val="18"/>
                      <w:szCs w:val="18"/>
                    </w:rPr>
                  </w:pPr>
                </w:p>
              </w:tc>
              <w:tc>
                <w:tcPr>
                  <w:tcW w:w="280" w:type="dxa"/>
                  <w:shd w:val="solid" w:color="D9D9D9" w:fill="auto"/>
                </w:tcPr>
                <w:p>
                  <w:pPr>
                    <w:ind w:left="2520" w:hanging="2520"/>
                    <w:jc w:val="center"/>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大写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exact"/>
              </w:trPr>
              <w:tc>
                <w:tcPr>
                  <w:tcW w:w="771" w:type="dxa"/>
                  <w:shd w:val="clear" w:color="auto" w:fill="auto"/>
                </w:tcPr>
                <w:p>
                  <w:pPr>
                    <w:ind w:left="2520" w:hanging="2520"/>
                    <w:jc w:val="center"/>
                    <w:rPr>
                      <w:rFonts w:ascii="等线" w:hAnsi="等线"/>
                      <w:sz w:val="18"/>
                      <w:szCs w:val="18"/>
                    </w:rPr>
                  </w:pPr>
                  <w:r>
                    <w:rPr>
                      <w:rFonts w:ascii="等线" w:hAnsi="等线"/>
                      <w:sz w:val="18"/>
                      <w:szCs w:val="18"/>
                    </w:rPr>
                    <w:t>小写</w:t>
                  </w: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c>
                <w:tcPr>
                  <w:tcW w:w="280" w:type="dxa"/>
                  <w:shd w:val="clear" w:color="auto" w:fill="auto"/>
                </w:tcPr>
                <w:p>
                  <w:pPr>
                    <w:ind w:left="2520" w:hanging="2520"/>
                    <w:rPr>
                      <w:rFonts w:ascii="等线" w:hAnsi="等线"/>
                      <w:sz w:val="18"/>
                      <w:szCs w:val="18"/>
                    </w:rPr>
                  </w:pPr>
                </w:p>
              </w:tc>
            </w:tr>
          </w:tbl>
          <w:p>
            <w:pPr>
              <w:ind w:left="0" w:firstLine="0"/>
              <w:rPr>
                <w:rFonts w:hint="eastAsia" w:ascii="等线" w:hAnsi="等线" w:eastAsia="宋体"/>
                <w:sz w:val="18"/>
                <w:szCs w:val="18"/>
                <w:u w:val="single"/>
                <w:lang w:eastAsia="zh-CN"/>
              </w:rPr>
            </w:pPr>
          </w:p>
        </w:tc>
      </w:tr>
      <w:tr>
        <w:tblPrEx>
          <w:tblCellMar>
            <w:top w:w="0" w:type="dxa"/>
            <w:left w:w="57" w:type="dxa"/>
            <w:bottom w:w="0" w:type="dxa"/>
            <w:right w:w="57" w:type="dxa"/>
          </w:tblCellMar>
        </w:tblPrEx>
        <w:trPr>
          <w:trHeight w:val="273" w:hRule="atLeast"/>
        </w:trPr>
        <w:tc>
          <w:tcPr>
            <w:tcW w:w="1602" w:type="dxa"/>
            <w:vMerge w:val="continue"/>
            <w:tcBorders>
              <w:top w:val="single" w:color="auto" w:sz="12" w:space="0"/>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rPr>
            </w:pPr>
          </w:p>
        </w:tc>
        <w:tc>
          <w:tcPr>
            <w:tcW w:w="9295" w:type="dxa"/>
            <w:gridSpan w:val="2"/>
            <w:tcBorders>
              <w:left w:val="single" w:color="auto" w:sz="12" w:space="0"/>
              <w:right w:val="single" w:color="auto" w:sz="12" w:space="0"/>
            </w:tcBorders>
            <w:shd w:val="clear" w:color="auto" w:fill="auto"/>
            <w:vAlign w:val="center"/>
          </w:tcPr>
          <w:p>
            <w:pPr>
              <w:ind w:left="2520" w:hanging="2520"/>
              <w:jc w:val="left"/>
              <w:rPr>
                <w:rFonts w:ascii="等线" w:hAnsi="等线"/>
                <w:sz w:val="18"/>
                <w:szCs w:val="18"/>
              </w:rPr>
            </w:pPr>
            <w:r>
              <w:rPr>
                <w:rFonts w:ascii="等线" w:hAnsi="等线"/>
                <w:sz w:val="18"/>
                <w:szCs w:val="18"/>
              </w:rPr>
              <w:t>对方销售</w:t>
            </w:r>
            <w:r>
              <w:rPr>
                <w:rFonts w:hint="eastAsia" w:ascii="等线" w:hAnsi="等线"/>
                <w:sz w:val="18"/>
                <w:szCs w:val="18"/>
                <w:lang w:val="en-US" w:eastAsia="zh-CN"/>
              </w:rPr>
              <w:t>商</w:t>
            </w:r>
            <w:r>
              <w:rPr>
                <w:rFonts w:ascii="等线" w:hAnsi="等线"/>
                <w:sz w:val="18"/>
                <w:szCs w:val="18"/>
              </w:rPr>
              <w:t>（转入场内请填写“场内”）：</w:t>
            </w:r>
            <w:r>
              <w:rPr>
                <w:rFonts w:ascii="等线" w:hAnsi="等线"/>
                <w:sz w:val="18"/>
                <w:szCs w:val="18"/>
                <w:u w:val="single"/>
              </w:rPr>
              <w:t>　　　　　　　　　　　</w:t>
            </w:r>
          </w:p>
        </w:tc>
      </w:tr>
      <w:tr>
        <w:tblPrEx>
          <w:tblCellMar>
            <w:top w:w="0" w:type="dxa"/>
            <w:left w:w="57" w:type="dxa"/>
            <w:bottom w:w="0" w:type="dxa"/>
            <w:right w:w="57" w:type="dxa"/>
          </w:tblCellMar>
        </w:tblPrEx>
        <w:trPr>
          <w:trHeight w:val="355" w:hRule="atLeast"/>
        </w:trPr>
        <w:tc>
          <w:tcPr>
            <w:tcW w:w="1602" w:type="dxa"/>
            <w:vMerge w:val="continue"/>
            <w:tcBorders>
              <w:top w:val="single" w:color="auto" w:sz="12" w:space="0"/>
              <w:left w:val="single" w:color="auto" w:sz="12" w:space="0"/>
              <w:bottom w:val="single" w:color="auto" w:sz="12" w:space="0"/>
              <w:right w:val="single" w:color="auto" w:sz="12" w:space="0"/>
            </w:tcBorders>
            <w:shd w:val="clear" w:color="auto" w:fill="auto"/>
            <w:vAlign w:val="center"/>
          </w:tcPr>
          <w:p>
            <w:pPr>
              <w:ind w:left="2520" w:hanging="2520"/>
              <w:rPr>
                <w:rFonts w:ascii="等线" w:hAnsi="等线"/>
                <w:b/>
                <w:sz w:val="18"/>
                <w:szCs w:val="18"/>
              </w:rPr>
            </w:pPr>
          </w:p>
        </w:tc>
        <w:tc>
          <w:tcPr>
            <w:tcW w:w="9295" w:type="dxa"/>
            <w:gridSpan w:val="2"/>
            <w:tcBorders>
              <w:left w:val="single" w:color="auto" w:sz="12" w:space="0"/>
              <w:bottom w:val="single" w:color="auto" w:sz="12" w:space="0"/>
              <w:right w:val="single" w:color="auto" w:sz="12" w:space="0"/>
            </w:tcBorders>
            <w:shd w:val="clear" w:color="auto" w:fill="auto"/>
            <w:vAlign w:val="center"/>
          </w:tcPr>
          <w:p>
            <w:pPr>
              <w:ind w:left="2520" w:hanging="2520"/>
              <w:jc w:val="left"/>
              <w:rPr>
                <w:rFonts w:ascii="等线" w:hAnsi="等线"/>
                <w:sz w:val="18"/>
                <w:szCs w:val="18"/>
              </w:rPr>
            </w:pPr>
            <w:r>
              <w:rPr>
                <w:rFonts w:ascii="等线" w:hAnsi="等线"/>
                <w:sz w:val="18"/>
                <w:szCs w:val="18"/>
              </w:rPr>
              <w:t>对方交易账号（转入场内请填写对方席位号）：</w:t>
            </w:r>
            <w:r>
              <w:rPr>
                <w:rFonts w:ascii="等线" w:hAnsi="等线"/>
                <w:sz w:val="18"/>
                <w:szCs w:val="18"/>
                <w:u w:val="single"/>
              </w:rPr>
              <w:t>　　　　　　　　　　</w:t>
            </w:r>
          </w:p>
        </w:tc>
      </w:tr>
      <w:tr>
        <w:tblPrEx>
          <w:tblCellMar>
            <w:top w:w="0" w:type="dxa"/>
            <w:left w:w="57" w:type="dxa"/>
            <w:bottom w:w="0" w:type="dxa"/>
            <w:right w:w="57" w:type="dxa"/>
          </w:tblCellMar>
        </w:tblPrEx>
        <w:trPr>
          <w:trHeight w:val="401" w:hRule="atLeast"/>
        </w:trPr>
        <w:tc>
          <w:tcPr>
            <w:tcW w:w="1602" w:type="dxa"/>
            <w:vMerge w:val="restart"/>
            <w:tcBorders>
              <w:top w:val="single" w:color="auto" w:sz="12" w:space="0"/>
              <w:left w:val="single" w:color="auto" w:sz="12" w:space="0"/>
              <w:right w:val="single" w:color="auto" w:sz="12" w:space="0"/>
            </w:tcBorders>
            <w:shd w:val="clear" w:color="auto" w:fill="auto"/>
            <w:vAlign w:val="center"/>
          </w:tcPr>
          <w:p>
            <w:pPr>
              <w:ind w:left="2520" w:hanging="2520"/>
              <w:rPr>
                <w:rFonts w:ascii="等线" w:hAnsi="等线"/>
                <w:b/>
                <w:sz w:val="18"/>
                <w:szCs w:val="18"/>
              </w:rPr>
            </w:pPr>
            <w:r>
              <w:rPr>
                <w:rFonts w:ascii="等线" w:hAnsi="等线"/>
                <w:b/>
                <w:sz w:val="18"/>
                <w:szCs w:val="18"/>
              </w:rPr>
              <w:t>□分红方式设置</w:t>
            </w:r>
          </w:p>
        </w:tc>
        <w:tc>
          <w:tcPr>
            <w:tcW w:w="9295" w:type="dxa"/>
            <w:gridSpan w:val="2"/>
            <w:tcBorders>
              <w:top w:val="single" w:color="auto" w:sz="12" w:space="0"/>
              <w:left w:val="single" w:color="auto" w:sz="12" w:space="0"/>
              <w:bottom w:val="nil"/>
              <w:right w:val="single" w:color="auto" w:sz="12" w:space="0"/>
            </w:tcBorders>
            <w:shd w:val="clear" w:color="auto" w:fill="auto"/>
            <w:vAlign w:val="center"/>
          </w:tcPr>
          <w:p>
            <w:pPr>
              <w:ind w:left="2520" w:hanging="2520"/>
              <w:rPr>
                <w:rFonts w:ascii="等线" w:hAnsi="等线"/>
                <w:sz w:val="18"/>
                <w:szCs w:val="18"/>
              </w:rPr>
            </w:pPr>
            <w:r>
              <w:rPr>
                <w:rFonts w:ascii="等线" w:hAnsi="等线"/>
                <w:sz w:val="18"/>
                <w:szCs w:val="18"/>
              </w:rPr>
              <w:t>基金代码：</w:t>
            </w:r>
            <w:r>
              <w:rPr>
                <w:rFonts w:ascii="等线" w:hAnsi="等线"/>
                <w:sz w:val="18"/>
                <w:szCs w:val="18"/>
                <w:u w:val="single"/>
              </w:rPr>
              <w:t>　　　　　　  　</w:t>
            </w:r>
            <w:r>
              <w:rPr>
                <w:rFonts w:ascii="等线" w:hAnsi="等线"/>
                <w:sz w:val="18"/>
                <w:szCs w:val="18"/>
              </w:rPr>
              <w:t>　基金名称：</w:t>
            </w:r>
            <w:r>
              <w:rPr>
                <w:rFonts w:ascii="等线" w:hAnsi="等线"/>
                <w:sz w:val="18"/>
                <w:szCs w:val="18"/>
                <w:u w:val="single"/>
              </w:rPr>
              <w:t>　　　　　　　　</w:t>
            </w:r>
            <w:r>
              <w:rPr>
                <w:rFonts w:ascii="等线" w:hAnsi="等线"/>
                <w:sz w:val="18"/>
                <w:szCs w:val="18"/>
              </w:rPr>
              <w:t>　分红方式：</w:t>
            </w:r>
            <w:r>
              <w:rPr>
                <w:rFonts w:ascii="等线" w:hAnsi="等线"/>
                <w:b/>
                <w:sz w:val="18"/>
                <w:szCs w:val="18"/>
              </w:rPr>
              <w:t>□</w:t>
            </w:r>
            <w:r>
              <w:rPr>
                <w:rFonts w:ascii="等线" w:hAnsi="等线"/>
                <w:sz w:val="18"/>
                <w:szCs w:val="18"/>
              </w:rPr>
              <w:t>现金方式　□红利再投资</w:t>
            </w:r>
          </w:p>
        </w:tc>
      </w:tr>
      <w:tr>
        <w:tblPrEx>
          <w:tblCellMar>
            <w:top w:w="0" w:type="dxa"/>
            <w:left w:w="57" w:type="dxa"/>
            <w:bottom w:w="0" w:type="dxa"/>
            <w:right w:w="57" w:type="dxa"/>
          </w:tblCellMar>
        </w:tblPrEx>
        <w:trPr>
          <w:trHeight w:val="157" w:hRule="atLeast"/>
        </w:trPr>
        <w:tc>
          <w:tcPr>
            <w:tcW w:w="1602" w:type="dxa"/>
            <w:vMerge w:val="continue"/>
            <w:tcBorders>
              <w:left w:val="single" w:color="auto" w:sz="12" w:space="0"/>
              <w:right w:val="single" w:color="auto" w:sz="12" w:space="0"/>
            </w:tcBorders>
            <w:shd w:val="clear" w:color="auto" w:fill="auto"/>
            <w:vAlign w:val="center"/>
          </w:tcPr>
          <w:p>
            <w:pPr>
              <w:ind w:left="2520" w:hanging="2520"/>
              <w:rPr>
                <w:rFonts w:ascii="等线" w:hAnsi="等线"/>
                <w:b/>
                <w:sz w:val="18"/>
                <w:szCs w:val="18"/>
              </w:rPr>
            </w:pPr>
          </w:p>
        </w:tc>
        <w:tc>
          <w:tcPr>
            <w:tcW w:w="9295" w:type="dxa"/>
            <w:gridSpan w:val="2"/>
            <w:tcBorders>
              <w:top w:val="nil"/>
              <w:left w:val="single" w:color="auto" w:sz="12" w:space="0"/>
              <w:right w:val="single" w:color="auto" w:sz="12" w:space="0"/>
            </w:tcBorders>
            <w:shd w:val="clear" w:color="auto" w:fill="auto"/>
            <w:vAlign w:val="center"/>
          </w:tcPr>
          <w:p>
            <w:pPr>
              <w:ind w:left="2520" w:hanging="2520"/>
              <w:rPr>
                <w:rFonts w:hint="default" w:ascii="等线" w:hAnsi="等线" w:eastAsia="宋体"/>
                <w:sz w:val="18"/>
                <w:szCs w:val="18"/>
                <w:lang w:val="en-US" w:eastAsia="zh-CN"/>
              </w:rPr>
            </w:pPr>
            <w:r>
              <w:rPr>
                <w:rFonts w:hint="eastAsia" w:ascii="等线" w:hAnsi="等线"/>
                <w:sz w:val="18"/>
                <w:szCs w:val="18"/>
                <w:lang w:val="en-US" w:eastAsia="zh-CN"/>
              </w:rPr>
              <w:t>*分红方式设置只针对本交易账号下该基金的分红方式进行变更</w:t>
            </w:r>
          </w:p>
        </w:tc>
      </w:tr>
      <w:tr>
        <w:tblPrEx>
          <w:tblCellMar>
            <w:top w:w="0" w:type="dxa"/>
            <w:left w:w="57" w:type="dxa"/>
            <w:bottom w:w="0" w:type="dxa"/>
            <w:right w:w="57" w:type="dxa"/>
          </w:tblCellMar>
        </w:tblPrEx>
        <w:trPr>
          <w:trHeight w:val="528" w:hRule="atLeast"/>
        </w:trPr>
        <w:tc>
          <w:tcPr>
            <w:tcW w:w="1602" w:type="dxa"/>
            <w:tcBorders>
              <w:top w:val="single" w:color="auto" w:sz="12" w:space="0"/>
              <w:left w:val="single" w:color="auto" w:sz="12" w:space="0"/>
              <w:right w:val="single" w:color="auto" w:sz="12" w:space="0"/>
            </w:tcBorders>
            <w:shd w:val="clear" w:color="auto" w:fill="auto"/>
            <w:vAlign w:val="center"/>
          </w:tcPr>
          <w:p>
            <w:pPr>
              <w:ind w:left="2520" w:hanging="2520"/>
              <w:rPr>
                <w:rFonts w:ascii="等线" w:hAnsi="等线"/>
                <w:b/>
                <w:sz w:val="18"/>
                <w:szCs w:val="18"/>
              </w:rPr>
            </w:pPr>
            <w:r>
              <w:rPr>
                <w:rFonts w:ascii="等线" w:hAnsi="等线"/>
                <w:b/>
                <w:sz w:val="18"/>
                <w:szCs w:val="18"/>
              </w:rPr>
              <w:t>□当日撤单</w:t>
            </w:r>
          </w:p>
        </w:tc>
        <w:tc>
          <w:tcPr>
            <w:tcW w:w="9295" w:type="dxa"/>
            <w:gridSpan w:val="2"/>
            <w:tcBorders>
              <w:top w:val="single" w:color="auto" w:sz="12" w:space="0"/>
              <w:left w:val="single" w:color="auto" w:sz="12" w:space="0"/>
              <w:right w:val="single" w:color="auto" w:sz="12" w:space="0"/>
            </w:tcBorders>
            <w:shd w:val="clear" w:color="auto" w:fill="auto"/>
            <w:vAlign w:val="center"/>
          </w:tcPr>
          <w:p>
            <w:pPr>
              <w:ind w:left="2520" w:hanging="2520"/>
              <w:rPr>
                <w:rFonts w:ascii="等线" w:hAnsi="等线"/>
                <w:sz w:val="18"/>
                <w:szCs w:val="18"/>
                <w:u w:val="single"/>
              </w:rPr>
            </w:pPr>
            <w:r>
              <w:rPr>
                <w:rFonts w:ascii="等线" w:hAnsi="等线"/>
                <w:sz w:val="18"/>
                <w:szCs w:val="18"/>
              </w:rPr>
              <w:t>基金代码：</w:t>
            </w:r>
            <w:r>
              <w:rPr>
                <w:rFonts w:ascii="等线" w:hAnsi="等线"/>
                <w:sz w:val="18"/>
                <w:szCs w:val="18"/>
                <w:u w:val="single"/>
              </w:rPr>
              <w:t>　　　　　　  　</w:t>
            </w:r>
            <w:r>
              <w:rPr>
                <w:rFonts w:ascii="等线" w:hAnsi="等线"/>
                <w:sz w:val="18"/>
                <w:szCs w:val="18"/>
              </w:rPr>
              <w:t>　基金名称：</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rPr>
              <w:t>原申请编号：</w:t>
            </w:r>
            <w:r>
              <w:rPr>
                <w:rFonts w:ascii="等线" w:hAnsi="等线"/>
                <w:sz w:val="18"/>
                <w:szCs w:val="18"/>
                <w:u w:val="single"/>
              </w:rPr>
              <w:t>　　　　　　　　</w:t>
            </w:r>
          </w:p>
          <w:p>
            <w:pPr>
              <w:ind w:left="2520" w:hanging="2520"/>
              <w:jc w:val="both"/>
              <w:rPr>
                <w:rFonts w:ascii="等线" w:hAnsi="等线"/>
                <w:sz w:val="18"/>
                <w:szCs w:val="18"/>
                <w:u w:val="single"/>
              </w:rPr>
            </w:pPr>
            <w:r>
              <w:rPr>
                <w:rFonts w:hint="eastAsia" w:ascii="等线" w:hAnsi="等线"/>
                <w:sz w:val="18"/>
                <w:szCs w:val="18"/>
                <w:u w:val="none"/>
                <w:lang w:val="en-US" w:eastAsia="zh-CN"/>
              </w:rPr>
              <w:t>*</w:t>
            </w:r>
            <w:r>
              <w:rPr>
                <w:rFonts w:hint="eastAsia" w:ascii="等线" w:hAnsi="等线"/>
                <w:sz w:val="18"/>
                <w:szCs w:val="18"/>
                <w:u w:val="none"/>
              </w:rPr>
              <w:t>T日15：00之前的所有业务申请视作T日申请处理，投资者可以在T日15：00之前撤销当日交易类申请，撤单申请一经受理，不可撤销。</w:t>
            </w:r>
          </w:p>
        </w:tc>
      </w:tr>
      <w:tr>
        <w:tblPrEx>
          <w:tblCellMar>
            <w:top w:w="0" w:type="dxa"/>
            <w:left w:w="57" w:type="dxa"/>
            <w:bottom w:w="0" w:type="dxa"/>
            <w:right w:w="57" w:type="dxa"/>
          </w:tblCellMar>
        </w:tblPrEx>
        <w:trPr>
          <w:trHeight w:val="90" w:hRule="exact"/>
        </w:trPr>
        <w:tc>
          <w:tcPr>
            <w:tcW w:w="10897" w:type="dxa"/>
            <w:gridSpan w:val="3"/>
            <w:tcBorders>
              <w:top w:val="single" w:color="auto" w:sz="12" w:space="0"/>
              <w:bottom w:val="single" w:color="auto" w:sz="12" w:space="0"/>
            </w:tcBorders>
            <w:shd w:val="clear" w:color="auto" w:fill="auto"/>
            <w:tcMar>
              <w:left w:w="0" w:type="dxa"/>
              <w:right w:w="0" w:type="dxa"/>
            </w:tcMar>
            <w:vAlign w:val="center"/>
          </w:tcPr>
          <w:p>
            <w:pPr>
              <w:ind w:left="2520" w:hanging="2520"/>
              <w:rPr>
                <w:rFonts w:ascii="等线" w:hAnsi="等线"/>
                <w:b/>
                <w:sz w:val="15"/>
                <w:szCs w:val="15"/>
              </w:rPr>
            </w:pPr>
          </w:p>
        </w:tc>
      </w:tr>
      <w:tr>
        <w:tblPrEx>
          <w:tblCellMar>
            <w:top w:w="0" w:type="dxa"/>
            <w:left w:w="57" w:type="dxa"/>
            <w:bottom w:w="0" w:type="dxa"/>
            <w:right w:w="57" w:type="dxa"/>
          </w:tblCellMar>
        </w:tblPrEx>
        <w:trPr>
          <w:trHeight w:val="4340" w:hRule="atLeast"/>
        </w:trPr>
        <w:tc>
          <w:tcPr>
            <w:tcW w:w="10897" w:type="dxa"/>
            <w:gridSpan w:val="3"/>
            <w:tcBorders>
              <w:top w:val="single" w:color="auto" w:sz="12" w:space="0"/>
              <w:left w:val="single" w:color="auto" w:sz="12" w:space="0"/>
              <w:bottom w:val="single" w:color="auto" w:sz="4" w:space="0"/>
              <w:right w:val="single" w:color="auto" w:sz="12" w:space="0"/>
            </w:tcBorders>
            <w:shd w:val="clear" w:color="auto" w:fill="auto"/>
            <w:vAlign w:val="center"/>
          </w:tcPr>
          <w:p>
            <w:pPr>
              <w:rPr>
                <w:rFonts w:ascii="等线" w:hAnsi="等线"/>
                <w:b/>
                <w:color w:val="FF0000"/>
                <w:sz w:val="18"/>
                <w:szCs w:val="15"/>
              </w:rPr>
            </w:pPr>
            <w:r>
              <w:rPr>
                <w:rFonts w:hint="eastAsia" w:ascii="等线" w:hAnsi="等线"/>
                <w:b/>
                <w:color w:val="FF0000"/>
                <w:sz w:val="18"/>
                <w:szCs w:val="15"/>
              </w:rPr>
              <w:t>投资人</w:t>
            </w:r>
            <w:r>
              <w:rPr>
                <w:rFonts w:ascii="等线" w:hAnsi="等线"/>
                <w:b/>
                <w:color w:val="FF0000"/>
                <w:sz w:val="18"/>
                <w:szCs w:val="15"/>
              </w:rPr>
              <w:t>声明：</w:t>
            </w:r>
          </w:p>
          <w:p>
            <w:pPr>
              <w:numPr>
                <w:ilvl w:val="0"/>
                <w:numId w:val="1"/>
              </w:numPr>
              <w:rPr>
                <w:rFonts w:ascii="等线" w:hAnsi="等线"/>
                <w:b/>
                <w:sz w:val="18"/>
                <w:szCs w:val="15"/>
              </w:rPr>
            </w:pPr>
            <w:r>
              <w:rPr>
                <w:rFonts w:ascii="等线" w:hAnsi="等线"/>
                <w:b/>
                <w:sz w:val="18"/>
                <w:szCs w:val="15"/>
              </w:rPr>
              <w:t>本</w:t>
            </w:r>
            <w:r>
              <w:rPr>
                <w:rFonts w:hint="eastAsia" w:ascii="等线" w:hAnsi="等线"/>
                <w:b/>
                <w:sz w:val="18"/>
                <w:szCs w:val="15"/>
              </w:rPr>
              <w:t>投资人</w:t>
            </w:r>
            <w:r>
              <w:rPr>
                <w:rFonts w:ascii="等线" w:hAnsi="等线"/>
                <w:b/>
                <w:sz w:val="18"/>
                <w:szCs w:val="15"/>
              </w:rPr>
              <w:t>已了解国家有关</w:t>
            </w:r>
            <w:r>
              <w:rPr>
                <w:rFonts w:hint="eastAsia" w:ascii="等线" w:hAnsi="等线"/>
                <w:b/>
                <w:sz w:val="18"/>
                <w:szCs w:val="15"/>
                <w:lang w:val="en-US" w:eastAsia="zh-CN"/>
              </w:rPr>
              <w:t>证券投资</w:t>
            </w:r>
            <w:r>
              <w:rPr>
                <w:rFonts w:ascii="等线" w:hAnsi="等线"/>
                <w:b/>
                <w:sz w:val="18"/>
                <w:szCs w:val="15"/>
              </w:rPr>
              <w:t>基金反洗钱相关的法律、法规和政策，已仔细阅读过本次交易所涉基金的</w:t>
            </w:r>
            <w:r>
              <w:rPr>
                <w:rFonts w:hint="default" w:ascii="等线" w:hAnsi="等线" w:eastAsia="宋体" w:cs="Times New Roman"/>
                <w:b/>
                <w:bCs w:val="0"/>
                <w:kern w:val="2"/>
                <w:sz w:val="18"/>
                <w:szCs w:val="15"/>
              </w:rPr>
              <w:t>基金合同、最新招募说明书、基金产品</w:t>
            </w:r>
            <w:r>
              <w:rPr>
                <w:rFonts w:hint="default" w:ascii="等线" w:hAnsi="等线" w:cs="Times New Roman"/>
                <w:b/>
                <w:bCs w:val="0"/>
                <w:kern w:val="2"/>
                <w:sz w:val="18"/>
                <w:szCs w:val="15"/>
                <w:lang w:val="en-US" w:eastAsia="zh-CN"/>
              </w:rPr>
              <w:t>资料</w:t>
            </w:r>
            <w:r>
              <w:rPr>
                <w:rFonts w:hint="default" w:ascii="等线" w:hAnsi="等线" w:eastAsia="宋体" w:cs="Times New Roman"/>
                <w:b/>
                <w:bCs w:val="0"/>
                <w:kern w:val="2"/>
                <w:sz w:val="18"/>
                <w:szCs w:val="15"/>
              </w:rPr>
              <w:t>概要</w:t>
            </w:r>
            <w:r>
              <w:rPr>
                <w:rFonts w:hint="default" w:ascii="等线" w:hAnsi="等线" w:cs="Times New Roman"/>
                <w:b/>
                <w:bCs w:val="0"/>
                <w:kern w:val="2"/>
                <w:sz w:val="18"/>
                <w:szCs w:val="15"/>
                <w:lang w:val="en-US" w:eastAsia="zh-CN"/>
              </w:rPr>
              <w:t>等基金法律文件</w:t>
            </w:r>
            <w:r>
              <w:rPr>
                <w:rFonts w:hint="default" w:ascii="等线" w:hAnsi="等线" w:eastAsia="宋体" w:cs="Times New Roman"/>
                <w:b/>
                <w:bCs w:val="0"/>
                <w:kern w:val="2"/>
                <w:sz w:val="18"/>
                <w:szCs w:val="15"/>
              </w:rPr>
              <w:t>、产品风险揭示书、客户维护费揭示书</w:t>
            </w:r>
            <w:r>
              <w:rPr>
                <w:rFonts w:hint="default" w:ascii="等线" w:hAnsi="等线"/>
                <w:b/>
                <w:sz w:val="18"/>
                <w:szCs w:val="15"/>
                <w:lang w:val="en-US" w:eastAsia="zh-CN"/>
              </w:rPr>
              <w:t>、</w:t>
            </w:r>
            <w:r>
              <w:rPr>
                <w:rFonts w:ascii="等线" w:hAnsi="等线"/>
                <w:b/>
                <w:sz w:val="18"/>
                <w:szCs w:val="15"/>
              </w:rPr>
              <w:t>业务规则</w:t>
            </w:r>
            <w:r>
              <w:rPr>
                <w:rFonts w:hint="eastAsia" w:ascii="等线" w:hAnsi="等线"/>
                <w:b/>
                <w:sz w:val="18"/>
                <w:szCs w:val="15"/>
              </w:rPr>
              <w:t>以及最新公告信息</w:t>
            </w:r>
            <w:r>
              <w:rPr>
                <w:rFonts w:ascii="等线" w:hAnsi="等线"/>
                <w:b/>
                <w:sz w:val="18"/>
                <w:szCs w:val="15"/>
              </w:rPr>
              <w:t>，保证所提供的资料</w:t>
            </w:r>
            <w:r>
              <w:rPr>
                <w:rFonts w:hint="eastAsia" w:ascii="等线" w:hAnsi="等线"/>
                <w:b/>
                <w:sz w:val="18"/>
                <w:szCs w:val="15"/>
              </w:rPr>
              <w:t>真实</w:t>
            </w:r>
            <w:r>
              <w:rPr>
                <w:rFonts w:ascii="等线" w:hAnsi="等线"/>
                <w:b/>
                <w:sz w:val="18"/>
                <w:szCs w:val="15"/>
              </w:rPr>
              <w:t>、准确</w:t>
            </w:r>
            <w:r>
              <w:rPr>
                <w:rFonts w:hint="eastAsia" w:ascii="等线" w:hAnsi="等线"/>
                <w:b/>
                <w:sz w:val="18"/>
                <w:szCs w:val="15"/>
              </w:rPr>
              <w:t>、完整</w:t>
            </w:r>
            <w:r>
              <w:rPr>
                <w:rFonts w:ascii="等线" w:hAnsi="等线"/>
                <w:b/>
                <w:sz w:val="18"/>
                <w:szCs w:val="15"/>
              </w:rPr>
              <w:t xml:space="preserve">, </w:t>
            </w:r>
            <w:r>
              <w:rPr>
                <w:rFonts w:hint="eastAsia" w:ascii="等线" w:hAnsi="等线"/>
                <w:b/>
                <w:sz w:val="18"/>
                <w:szCs w:val="15"/>
              </w:rPr>
              <w:t>并</w:t>
            </w:r>
            <w:r>
              <w:rPr>
                <w:rFonts w:ascii="等线" w:hAnsi="等线"/>
                <w:b/>
                <w:sz w:val="18"/>
                <w:szCs w:val="15"/>
              </w:rPr>
              <w:t>将协助</w:t>
            </w:r>
            <w:r>
              <w:rPr>
                <w:rFonts w:hint="eastAsia" w:ascii="等线" w:hAnsi="等线"/>
                <w:b/>
                <w:sz w:val="18"/>
                <w:szCs w:val="15"/>
              </w:rPr>
              <w:t>博时财富</w:t>
            </w:r>
            <w:r>
              <w:rPr>
                <w:rFonts w:ascii="等线" w:hAnsi="等线"/>
                <w:b/>
                <w:sz w:val="18"/>
                <w:szCs w:val="15"/>
              </w:rPr>
              <w:t>基金销售有限公司及时更新</w:t>
            </w:r>
            <w:r>
              <w:rPr>
                <w:rFonts w:hint="eastAsia" w:ascii="等线" w:hAnsi="等线"/>
                <w:b/>
                <w:sz w:val="18"/>
                <w:szCs w:val="15"/>
              </w:rPr>
              <w:t>账户资料及相关</w:t>
            </w:r>
            <w:r>
              <w:rPr>
                <w:rFonts w:ascii="等线" w:hAnsi="等线"/>
                <w:b/>
                <w:sz w:val="18"/>
                <w:szCs w:val="15"/>
              </w:rPr>
              <w:t>信息，自愿遵守相关条款，履行基金投资者或资产委托人的各项义务，明白投资有风险，自行承担投资风险。</w:t>
            </w:r>
          </w:p>
          <w:p>
            <w:pPr>
              <w:numPr>
                <w:ilvl w:val="0"/>
                <w:numId w:val="1"/>
              </w:numPr>
              <w:rPr>
                <w:rFonts w:ascii="等线" w:hAnsi="等线"/>
                <w:b/>
                <w:sz w:val="18"/>
                <w:szCs w:val="15"/>
              </w:rPr>
            </w:pPr>
            <w:r>
              <w:rPr>
                <w:rFonts w:hint="eastAsia" w:ascii="等线" w:hAnsi="等线"/>
                <w:b/>
                <w:sz w:val="18"/>
                <w:szCs w:val="15"/>
              </w:rPr>
              <w:t>本投资人授权博时财富基金销售有限公司在必要时可通过第三方机构核实本人提供信息的准确性。</w:t>
            </w:r>
          </w:p>
          <w:p>
            <w:pPr>
              <w:numPr>
                <w:ilvl w:val="0"/>
                <w:numId w:val="1"/>
              </w:numPr>
              <w:rPr>
                <w:rFonts w:ascii="等线" w:hAnsi="等线"/>
                <w:b/>
                <w:sz w:val="18"/>
                <w:szCs w:val="15"/>
              </w:rPr>
            </w:pPr>
            <w:r>
              <w:rPr>
                <w:rFonts w:hint="eastAsia" w:ascii="等线" w:hAnsi="等线"/>
                <w:b/>
                <w:sz w:val="18"/>
                <w:szCs w:val="15"/>
              </w:rPr>
              <w:t>本投资人（普通投资者）了解购买风险等级高于自身风险承受能力的产品或购买高风险产品时，销售机构将履行特别的告知等义务，因此本人须预留足够的交易时间，并在交易时间内确认是否继续交易。按照法规要求，风险承受能力最低类别的投资人不得购买风险等级高于自身风险承受能力的产品。</w:t>
            </w:r>
          </w:p>
          <w:p>
            <w:pPr>
              <w:numPr>
                <w:ilvl w:val="0"/>
                <w:numId w:val="1"/>
              </w:numPr>
              <w:rPr>
                <w:rFonts w:hint="eastAsia" w:ascii="等线" w:hAnsi="等线"/>
                <w:b/>
                <w:sz w:val="18"/>
                <w:szCs w:val="15"/>
              </w:rPr>
            </w:pPr>
            <w:r>
              <w:rPr>
                <w:rFonts w:hint="eastAsia" w:ascii="等线" w:hAnsi="等线"/>
                <w:b/>
                <w:sz w:val="18"/>
                <w:szCs w:val="15"/>
              </w:rPr>
              <w:t>特别提示投资者，基金交易申请的受理不等于该申请被确认成功，而仅代表博时财富确实收到申请。交易是否成功最终结果以产品管理人或注册登记机构的确认为准，投资者可于T+2日向本机构查询确认结果，基金合同另有规定的除外。</w:t>
            </w:r>
          </w:p>
          <w:p>
            <w:pPr>
              <w:ind w:firstLine="361" w:firstLineChars="200"/>
              <w:rPr>
                <w:rFonts w:ascii="等线" w:hAnsi="等线"/>
                <w:b/>
                <w:sz w:val="18"/>
                <w:szCs w:val="15"/>
              </w:rPr>
            </w:pPr>
            <w:r>
              <w:rPr>
                <w:rFonts w:hint="eastAsia" w:ascii="等线" w:hAnsi="等线"/>
                <w:b/>
                <w:sz w:val="18"/>
                <w:szCs w:val="15"/>
              </w:rPr>
              <w:t>机构</w:t>
            </w:r>
            <w:r>
              <w:rPr>
                <w:rFonts w:hint="eastAsia" w:ascii="等线" w:hAnsi="等线"/>
                <w:b/>
                <w:sz w:val="18"/>
                <w:szCs w:val="15"/>
                <w:lang w:val="en-US" w:eastAsia="zh-CN"/>
              </w:rPr>
              <w:t>/产品客户</w:t>
            </w:r>
            <w:r>
              <w:rPr>
                <w:rFonts w:hint="eastAsia" w:ascii="等线" w:hAnsi="等线"/>
                <w:b/>
                <w:sz w:val="18"/>
                <w:szCs w:val="15"/>
              </w:rPr>
              <w:t>经办人签章</w:t>
            </w:r>
            <w:r>
              <w:rPr>
                <w:rFonts w:hint="eastAsia" w:ascii="等线" w:hAnsi="等线"/>
                <w:b/>
                <w:sz w:val="18"/>
                <w:szCs w:val="15"/>
                <w:lang w:val="en-US" w:eastAsia="zh-CN"/>
              </w:rPr>
              <w:t>/字</w:t>
            </w:r>
            <w:r>
              <w:rPr>
                <w:rFonts w:hint="eastAsia" w:ascii="等线" w:hAnsi="等线"/>
                <w:b/>
                <w:sz w:val="18"/>
                <w:szCs w:val="15"/>
              </w:rPr>
              <w:t xml:space="preserve">： </w:t>
            </w:r>
            <w:r>
              <w:rPr>
                <w:rFonts w:ascii="等线" w:hAnsi="等线"/>
                <w:b/>
                <w:sz w:val="18"/>
                <w:szCs w:val="15"/>
              </w:rPr>
              <w:t xml:space="preserve">                                </w:t>
            </w:r>
            <w:r>
              <w:rPr>
                <w:rFonts w:hint="eastAsia" w:ascii="等线" w:hAnsi="等线"/>
                <w:b/>
                <w:sz w:val="18"/>
                <w:szCs w:val="15"/>
              </w:rPr>
              <w:t>机构</w:t>
            </w:r>
            <w:r>
              <w:rPr>
                <w:rFonts w:hint="eastAsia" w:ascii="等线" w:hAnsi="等线"/>
                <w:b/>
                <w:sz w:val="18"/>
                <w:szCs w:val="15"/>
                <w:lang w:val="en-US" w:eastAsia="zh-CN"/>
              </w:rPr>
              <w:t>/产品客户</w:t>
            </w:r>
            <w:r>
              <w:rPr>
                <w:rFonts w:hint="eastAsia" w:ascii="等线" w:hAnsi="等线"/>
                <w:b/>
                <w:sz w:val="18"/>
                <w:szCs w:val="15"/>
              </w:rPr>
              <w:t>预留</w:t>
            </w:r>
            <w:r>
              <w:rPr>
                <w:rFonts w:hint="eastAsia" w:ascii="等线" w:hAnsi="等线"/>
                <w:b/>
                <w:sz w:val="18"/>
                <w:szCs w:val="15"/>
                <w:lang w:val="en-US" w:eastAsia="zh-CN"/>
              </w:rPr>
              <w:t>交易</w:t>
            </w:r>
            <w:r>
              <w:rPr>
                <w:rFonts w:hint="eastAsia" w:ascii="等线" w:hAnsi="等线"/>
                <w:b/>
                <w:sz w:val="18"/>
                <w:szCs w:val="15"/>
              </w:rPr>
              <w:t>印鉴：</w:t>
            </w:r>
          </w:p>
          <w:p>
            <w:pPr>
              <w:ind w:firstLine="361" w:firstLineChars="200"/>
              <w:rPr>
                <w:rFonts w:ascii="等线" w:hAnsi="等线"/>
                <w:b/>
                <w:sz w:val="18"/>
                <w:szCs w:val="18"/>
              </w:rPr>
            </w:pPr>
            <w:r>
              <w:rPr>
                <w:rFonts w:hint="eastAsia" w:ascii="等线" w:hAnsi="等线"/>
                <w:b/>
                <w:sz w:val="18"/>
                <w:szCs w:val="15"/>
              </w:rPr>
              <w:t>个人</w:t>
            </w:r>
            <w:r>
              <w:rPr>
                <w:rFonts w:hint="eastAsia" w:ascii="等线" w:hAnsi="等线"/>
                <w:b/>
                <w:sz w:val="18"/>
                <w:szCs w:val="15"/>
                <w:lang w:val="en-US" w:eastAsia="zh-CN"/>
              </w:rPr>
              <w:t>客户</w:t>
            </w:r>
            <w:r>
              <w:rPr>
                <w:rFonts w:hint="eastAsia" w:ascii="等线" w:hAnsi="等线"/>
                <w:b/>
                <w:sz w:val="18"/>
                <w:szCs w:val="15"/>
              </w:rPr>
              <w:t>或代办人签字：</w:t>
            </w:r>
            <w:r>
              <w:rPr>
                <w:rFonts w:hint="eastAsia" w:ascii="等线" w:hAnsi="等线"/>
                <w:b/>
                <w:sz w:val="18"/>
                <w:szCs w:val="15"/>
                <w:lang w:val="en-US" w:eastAsia="zh-CN"/>
              </w:rPr>
              <w:t xml:space="preserve">                                                                         </w:t>
            </w:r>
            <w:r>
              <w:rPr>
                <w:rFonts w:hint="eastAsia" w:ascii="等线" w:hAnsi="等线"/>
                <w:b/>
                <w:sz w:val="18"/>
                <w:szCs w:val="15"/>
              </w:rPr>
              <w:t xml:space="preserve">日期： </w:t>
            </w:r>
            <w:r>
              <w:rPr>
                <w:rFonts w:ascii="等线" w:hAnsi="等线"/>
                <w:b/>
                <w:sz w:val="18"/>
                <w:szCs w:val="15"/>
              </w:rPr>
              <w:t xml:space="preserve"> </w:t>
            </w:r>
            <w:r>
              <w:rPr>
                <w:rFonts w:hint="eastAsia" w:ascii="等线" w:hAnsi="等线"/>
                <w:b/>
                <w:sz w:val="18"/>
                <w:szCs w:val="15"/>
              </w:rPr>
              <w:t xml:space="preserve">年 </w:t>
            </w:r>
            <w:r>
              <w:rPr>
                <w:rFonts w:ascii="等线" w:hAnsi="等线"/>
                <w:b/>
                <w:sz w:val="18"/>
                <w:szCs w:val="15"/>
              </w:rPr>
              <w:t xml:space="preserve"> </w:t>
            </w:r>
            <w:r>
              <w:rPr>
                <w:rFonts w:hint="eastAsia" w:ascii="等线" w:hAnsi="等线"/>
                <w:b/>
                <w:sz w:val="18"/>
                <w:szCs w:val="15"/>
              </w:rPr>
              <w:t xml:space="preserve">月 </w:t>
            </w:r>
            <w:r>
              <w:rPr>
                <w:rFonts w:ascii="等线" w:hAnsi="等线"/>
                <w:b/>
                <w:sz w:val="18"/>
                <w:szCs w:val="15"/>
              </w:rPr>
              <w:t xml:space="preserve"> </w:t>
            </w:r>
            <w:r>
              <w:rPr>
                <w:rFonts w:hint="eastAsia" w:ascii="等线" w:hAnsi="等线"/>
                <w:b/>
                <w:sz w:val="18"/>
                <w:szCs w:val="15"/>
              </w:rPr>
              <w:t>日</w:t>
            </w:r>
          </w:p>
        </w:tc>
      </w:tr>
    </w:tbl>
    <w:p>
      <w:pPr>
        <w:keepNext w:val="0"/>
        <w:keepLines w:val="0"/>
        <w:pageBreakBefore w:val="0"/>
        <w:kinsoku/>
        <w:wordWrap/>
        <w:overflowPunct/>
        <w:topLinePunct w:val="0"/>
        <w:autoSpaceDE w:val="0"/>
        <w:autoSpaceDN w:val="0"/>
        <w:bidi w:val="0"/>
        <w:adjustRightInd w:val="0"/>
        <w:snapToGrid/>
        <w:spacing w:line="240" w:lineRule="auto"/>
        <w:jc w:val="both"/>
        <w:textAlignment w:val="auto"/>
        <w:outlineLvl w:val="0"/>
        <w:rPr>
          <w:rFonts w:hint="default" w:ascii="等线" w:hAnsi="等线"/>
          <w:b w:val="0"/>
          <w:bCs/>
          <w:sz w:val="18"/>
          <w:szCs w:val="18"/>
          <w:lang w:val="en-US" w:eastAsia="zh-CN"/>
        </w:rPr>
      </w:pPr>
      <w:r>
        <w:rPr>
          <w:rFonts w:hint="eastAsia" w:ascii="等线" w:hAnsi="等线"/>
          <w:b w:val="0"/>
          <w:bCs/>
          <w:sz w:val="18"/>
          <w:szCs w:val="18"/>
          <w:lang w:val="en-US" w:eastAsia="zh-CN"/>
        </w:rPr>
        <w:t xml:space="preserve">        操作员：                       复核员：                                       业务专用章</w:t>
      </w:r>
    </w:p>
    <w:p>
      <w:pPr>
        <w:rPr>
          <w:b/>
          <w:bCs/>
          <w:sz w:val="18"/>
          <w:szCs w:val="18"/>
        </w:rPr>
      </w:pPr>
      <w:r>
        <w:rPr>
          <w:rFonts w:hint="eastAsia"/>
          <w:b/>
          <w:bCs/>
          <w:sz w:val="18"/>
          <w:szCs w:val="18"/>
        </w:rPr>
        <w:t>风险提示</w:t>
      </w:r>
    </w:p>
    <w:p>
      <w:pPr>
        <w:rPr>
          <w:sz w:val="18"/>
          <w:szCs w:val="18"/>
        </w:rPr>
      </w:pPr>
      <w:r>
        <w:rPr>
          <w:rFonts w:hint="eastAsia"/>
          <w:sz w:val="18"/>
          <w:szCs w:val="18"/>
        </w:rPr>
        <w:t>1、</w:t>
      </w:r>
      <w:r>
        <w:rPr>
          <w:sz w:val="18"/>
          <w:szCs w:val="18"/>
        </w:rPr>
        <w:t xml:space="preserve">  </w:t>
      </w:r>
      <w:r>
        <w:rPr>
          <w:rFonts w:hint="eastAsia"/>
          <w:sz w:val="18"/>
          <w:szCs w:val="18"/>
        </w:rPr>
        <w:t>博时</w:t>
      </w:r>
      <w:r>
        <w:rPr>
          <w:rFonts w:hint="eastAsia"/>
          <w:sz w:val="18"/>
          <w:szCs w:val="18"/>
          <w:lang w:val="en-US" w:eastAsia="zh-CN"/>
        </w:rPr>
        <w:t>财富</w:t>
      </w:r>
      <w:r>
        <w:rPr>
          <w:rFonts w:hint="eastAsia"/>
          <w:sz w:val="18"/>
          <w:szCs w:val="18"/>
        </w:rPr>
        <w:t>基金</w:t>
      </w:r>
      <w:r>
        <w:rPr>
          <w:rFonts w:hint="eastAsia"/>
          <w:sz w:val="18"/>
          <w:szCs w:val="18"/>
          <w:lang w:val="en-US" w:eastAsia="zh-CN"/>
        </w:rPr>
        <w:t>销售</w:t>
      </w:r>
      <w:r>
        <w:rPr>
          <w:rFonts w:hint="eastAsia"/>
          <w:sz w:val="18"/>
          <w:szCs w:val="18"/>
        </w:rPr>
        <w:t>有限公司（以下简称“博时</w:t>
      </w:r>
      <w:r>
        <w:rPr>
          <w:rFonts w:hint="eastAsia"/>
          <w:sz w:val="18"/>
          <w:szCs w:val="18"/>
          <w:lang w:val="en-US" w:eastAsia="zh-CN"/>
        </w:rPr>
        <w:t>财富</w:t>
      </w:r>
      <w:r>
        <w:rPr>
          <w:rFonts w:hint="eastAsia"/>
          <w:sz w:val="18"/>
          <w:szCs w:val="18"/>
        </w:rPr>
        <w:t>”）</w:t>
      </w:r>
      <w:r>
        <w:rPr>
          <w:rFonts w:hint="eastAsia"/>
          <w:sz w:val="18"/>
          <w:szCs w:val="18"/>
          <w:lang w:val="en-US" w:eastAsia="zh-CN"/>
        </w:rPr>
        <w:t>代销</w:t>
      </w:r>
      <w:r>
        <w:rPr>
          <w:rFonts w:hint="eastAsia"/>
          <w:sz w:val="18"/>
          <w:szCs w:val="18"/>
        </w:rPr>
        <w:t>的基金均经中国证券监督管理委员会核准发行。但中国证监会对基金所做的任何决定，并不表明其对基金的价值和收益有实质性的保证，亦不意味基金投资没有风险。</w:t>
      </w:r>
    </w:p>
    <w:p>
      <w:pPr>
        <w:rPr>
          <w:sz w:val="18"/>
          <w:szCs w:val="18"/>
        </w:rPr>
      </w:pPr>
      <w:r>
        <w:rPr>
          <w:rFonts w:hint="eastAsia"/>
          <w:sz w:val="18"/>
          <w:szCs w:val="18"/>
        </w:rPr>
        <w:t>2、</w:t>
      </w:r>
      <w:r>
        <w:rPr>
          <w:sz w:val="18"/>
          <w:szCs w:val="18"/>
        </w:rPr>
        <w:t xml:space="preserve">  </w:t>
      </w:r>
      <w:r>
        <w:rPr>
          <w:rFonts w:hint="eastAsia"/>
          <w:sz w:val="18"/>
          <w:szCs w:val="18"/>
        </w:rPr>
        <w:t>基金在投资运作过程中可能面临各种风险，既包括市场风险，也包括基金自身的管理风险、技术风险和合规风险等。</w:t>
      </w:r>
    </w:p>
    <w:p>
      <w:pPr>
        <w:rPr>
          <w:sz w:val="18"/>
          <w:szCs w:val="18"/>
        </w:rPr>
      </w:pPr>
      <w:r>
        <w:rPr>
          <w:rFonts w:hint="eastAsia"/>
          <w:sz w:val="18"/>
          <w:szCs w:val="18"/>
        </w:rPr>
        <w:t>3、</w:t>
      </w:r>
      <w:r>
        <w:rPr>
          <w:sz w:val="18"/>
          <w:szCs w:val="18"/>
        </w:rPr>
        <w:t xml:space="preserve">  </w:t>
      </w:r>
      <w:r>
        <w:rPr>
          <w:rFonts w:hint="eastAsia"/>
          <w:sz w:val="18"/>
          <w:szCs w:val="18"/>
        </w:rPr>
        <w:t>市场因素的影响会使证券市场产生波动，投资于证券市场的基金因此可能遭受损失。市场因素造成的基金收益风险将由基金投资者承担。</w:t>
      </w:r>
    </w:p>
    <w:p>
      <w:pPr>
        <w:rPr>
          <w:sz w:val="18"/>
          <w:szCs w:val="18"/>
        </w:rPr>
      </w:pPr>
      <w:r>
        <w:rPr>
          <w:rFonts w:hint="eastAsia"/>
          <w:sz w:val="18"/>
          <w:szCs w:val="18"/>
        </w:rPr>
        <w:t>4、</w:t>
      </w:r>
      <w:r>
        <w:rPr>
          <w:sz w:val="18"/>
          <w:szCs w:val="18"/>
        </w:rPr>
        <w:t xml:space="preserve">  </w:t>
      </w:r>
      <w:r>
        <w:rPr>
          <w:rFonts w:hint="eastAsia"/>
          <w:sz w:val="18"/>
          <w:szCs w:val="18"/>
        </w:rPr>
        <w:t>巨额赎回风险，即当单个交易日基金的净赎回份额超过上一日基金总份额的一定比例（以各基金合同为准）时，投资人将可能无法及时赎回所提交赎回申请的全部基金份额。</w:t>
      </w:r>
    </w:p>
    <w:p>
      <w:pPr>
        <w:rPr>
          <w:sz w:val="18"/>
          <w:szCs w:val="18"/>
        </w:rPr>
      </w:pPr>
      <w:r>
        <w:rPr>
          <w:rFonts w:hint="eastAsia"/>
          <w:sz w:val="18"/>
          <w:szCs w:val="18"/>
        </w:rPr>
        <w:t>5、</w:t>
      </w:r>
      <w:r>
        <w:rPr>
          <w:sz w:val="18"/>
          <w:szCs w:val="18"/>
        </w:rPr>
        <w:t xml:space="preserve">  </w:t>
      </w:r>
      <w:r>
        <w:rPr>
          <w:rFonts w:hint="eastAsia"/>
          <w:sz w:val="18"/>
          <w:szCs w:val="18"/>
        </w:rPr>
        <w:t>基金分为股票基金、混合基金、债券基金、货币市场基金等不同类型，投资人投资不同类型的基金将获得不同的收益预期，也将承担不同程度的风险。</w:t>
      </w:r>
    </w:p>
    <w:p>
      <w:pPr>
        <w:rPr>
          <w:sz w:val="18"/>
          <w:szCs w:val="18"/>
        </w:rPr>
      </w:pPr>
      <w:r>
        <w:rPr>
          <w:rFonts w:hint="eastAsia"/>
          <w:sz w:val="18"/>
          <w:szCs w:val="18"/>
        </w:rPr>
        <w:t>6、</w:t>
      </w:r>
      <w:r>
        <w:rPr>
          <w:sz w:val="18"/>
          <w:szCs w:val="18"/>
        </w:rPr>
        <w:t xml:space="preserve">  </w:t>
      </w:r>
      <w:r>
        <w:rPr>
          <w:rFonts w:hint="eastAsia"/>
          <w:sz w:val="18"/>
          <w:szCs w:val="18"/>
        </w:rPr>
        <w:t>投资人应当认真阅读基金合同、招募说明书等基金法律文件，了解基金的风险收益特征，并根据自身的投资目的、投资期限、投资经验、资产状况等判断基金是否和投资人的风险承受能力相匹配。</w:t>
      </w:r>
    </w:p>
    <w:p>
      <w:pPr>
        <w:rPr>
          <w:sz w:val="18"/>
          <w:szCs w:val="18"/>
        </w:rPr>
      </w:pPr>
      <w:r>
        <w:rPr>
          <w:rFonts w:hint="eastAsia"/>
          <w:sz w:val="18"/>
          <w:szCs w:val="18"/>
        </w:rPr>
        <w:t>7、</w:t>
      </w:r>
      <w:r>
        <w:rPr>
          <w:sz w:val="18"/>
          <w:szCs w:val="18"/>
        </w:rPr>
        <w:t xml:space="preserve">  </w:t>
      </w:r>
      <w:r>
        <w:rPr>
          <w:rFonts w:hint="eastAsia"/>
          <w:sz w:val="18"/>
          <w:szCs w:val="18"/>
        </w:rPr>
        <w:t>所有</w:t>
      </w:r>
      <w:r>
        <w:rPr>
          <w:rFonts w:hint="eastAsia"/>
          <w:sz w:val="18"/>
          <w:szCs w:val="18"/>
          <w:lang w:val="en-US" w:eastAsia="zh-CN"/>
        </w:rPr>
        <w:t>在</w:t>
      </w:r>
      <w:r>
        <w:rPr>
          <w:rFonts w:hint="eastAsia"/>
          <w:sz w:val="18"/>
          <w:szCs w:val="18"/>
        </w:rPr>
        <w:t>博时</w:t>
      </w:r>
      <w:r>
        <w:rPr>
          <w:rFonts w:hint="eastAsia"/>
          <w:sz w:val="18"/>
          <w:szCs w:val="18"/>
          <w:lang w:val="en-US" w:eastAsia="zh-CN"/>
        </w:rPr>
        <w:t>财富</w:t>
      </w:r>
      <w:r>
        <w:rPr>
          <w:rFonts w:hint="eastAsia"/>
          <w:sz w:val="18"/>
          <w:szCs w:val="18"/>
        </w:rPr>
        <w:t>交易</w:t>
      </w:r>
      <w:r>
        <w:rPr>
          <w:rFonts w:hint="eastAsia"/>
          <w:sz w:val="18"/>
          <w:szCs w:val="18"/>
          <w:lang w:val="en-US" w:eastAsia="zh-CN"/>
        </w:rPr>
        <w:t>的普通投资者</w:t>
      </w:r>
      <w:r>
        <w:rPr>
          <w:rFonts w:hint="eastAsia"/>
          <w:sz w:val="18"/>
          <w:szCs w:val="18"/>
        </w:rPr>
        <w:t>，需要进行风险承受能力测评后方可进行认购、申购和转换交易。根据法规要求，基金管理人将不能向风险承受能力为最低的投资人提供任何高于其风险承受能力的产品或服务。</w:t>
      </w:r>
    </w:p>
    <w:p>
      <w:pPr>
        <w:rPr>
          <w:sz w:val="18"/>
          <w:szCs w:val="18"/>
        </w:rPr>
      </w:pPr>
      <w:r>
        <w:rPr>
          <w:rFonts w:hint="eastAsia"/>
          <w:sz w:val="18"/>
          <w:szCs w:val="18"/>
        </w:rPr>
        <w:t>8、</w:t>
      </w:r>
      <w:r>
        <w:rPr>
          <w:sz w:val="18"/>
          <w:szCs w:val="18"/>
        </w:rPr>
        <w:t xml:space="preserve">  </w:t>
      </w:r>
      <w:r>
        <w:rPr>
          <w:rFonts w:hint="eastAsia"/>
          <w:sz w:val="18"/>
          <w:szCs w:val="18"/>
        </w:rPr>
        <w:t>基金投资运作过程中，在管理人诚信、勤勉尽责地履行职责前提下，因管理人经验、知识、技术等方面的差异投资判断也会有差异，从而导致投资基金收益风险。此类风险将可能使投资者投资本金产生损失。</w:t>
      </w:r>
    </w:p>
    <w:p>
      <w:pPr>
        <w:rPr>
          <w:sz w:val="18"/>
          <w:szCs w:val="18"/>
        </w:rPr>
      </w:pPr>
      <w:r>
        <w:rPr>
          <w:rFonts w:hint="eastAsia"/>
          <w:sz w:val="18"/>
          <w:szCs w:val="18"/>
        </w:rPr>
        <w:t>9、</w:t>
      </w:r>
      <w:r>
        <w:rPr>
          <w:sz w:val="18"/>
          <w:szCs w:val="18"/>
        </w:rPr>
        <w:t xml:space="preserve">  </w:t>
      </w:r>
      <w:r>
        <w:rPr>
          <w:rFonts w:hint="eastAsia"/>
          <w:sz w:val="18"/>
          <w:szCs w:val="18"/>
        </w:rPr>
        <w:t>基金的过往业绩及其净值高低并不预示其未来业绩表现。</w:t>
      </w:r>
      <w:r>
        <w:rPr>
          <w:rFonts w:hint="eastAsia"/>
          <w:sz w:val="18"/>
          <w:szCs w:val="18"/>
          <w:lang w:val="en-US" w:eastAsia="zh-CN"/>
        </w:rPr>
        <w:t>博时财富</w:t>
      </w:r>
      <w:r>
        <w:rPr>
          <w:rFonts w:hint="eastAsia"/>
          <w:sz w:val="18"/>
          <w:szCs w:val="18"/>
        </w:rPr>
        <w:t>提醒投资人基金投资的“买者自负”原则，在做出投资决策后，基金运营状况与基金净值变化引致的投资风险，由投资人自行负担。</w:t>
      </w:r>
    </w:p>
    <w:p>
      <w:pPr>
        <w:rPr>
          <w:sz w:val="18"/>
          <w:szCs w:val="18"/>
        </w:rPr>
      </w:pPr>
      <w:r>
        <w:rPr>
          <w:rFonts w:hint="eastAsia"/>
          <w:sz w:val="18"/>
          <w:szCs w:val="18"/>
        </w:rPr>
        <w:t>10、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rPr>
          <w:sz w:val="18"/>
          <w:szCs w:val="18"/>
        </w:rPr>
      </w:pPr>
      <w:r>
        <w:rPr>
          <w:rFonts w:hint="eastAsia"/>
          <w:sz w:val="18"/>
          <w:szCs w:val="18"/>
        </w:rPr>
        <w:t>11、投资人购买货币市场基金不等于资金作为存款存放在银行或存款类金融机构，基金管理公司不保证一定盈利，也不保证最低收益。</w:t>
      </w:r>
    </w:p>
    <w:p>
      <w:pPr>
        <w:rPr>
          <w:sz w:val="18"/>
          <w:szCs w:val="18"/>
        </w:rPr>
      </w:pPr>
      <w:r>
        <w:rPr>
          <w:rFonts w:hint="eastAsia"/>
          <w:sz w:val="18"/>
          <w:szCs w:val="18"/>
        </w:rPr>
        <w:t>1</w:t>
      </w:r>
      <w:r>
        <w:rPr>
          <w:rFonts w:hint="eastAsia"/>
          <w:sz w:val="18"/>
          <w:szCs w:val="18"/>
          <w:lang w:val="en-US" w:eastAsia="zh-CN"/>
        </w:rPr>
        <w:t>2</w:t>
      </w:r>
      <w:r>
        <w:rPr>
          <w:rFonts w:hint="eastAsia"/>
          <w:sz w:val="18"/>
          <w:szCs w:val="18"/>
        </w:rPr>
        <w:t>、由于战争、自然灾害、罢工、通信技术故障或其他不可预见的意外情况，可能导致基金资产损失的风险。</w:t>
      </w:r>
    </w:p>
    <w:p>
      <w:pPr>
        <w:rPr>
          <w:rFonts w:hint="eastAsia"/>
          <w:sz w:val="18"/>
          <w:szCs w:val="18"/>
        </w:rPr>
      </w:pPr>
      <w:r>
        <w:rPr>
          <w:rFonts w:hint="eastAsia"/>
          <w:sz w:val="18"/>
          <w:szCs w:val="18"/>
        </w:rPr>
        <w:t>1</w:t>
      </w:r>
      <w:r>
        <w:rPr>
          <w:rFonts w:hint="eastAsia"/>
          <w:sz w:val="18"/>
          <w:szCs w:val="18"/>
          <w:lang w:val="en-US" w:eastAsia="zh-CN"/>
        </w:rPr>
        <w:t>3</w:t>
      </w:r>
      <w:r>
        <w:rPr>
          <w:rFonts w:hint="eastAsia"/>
          <w:sz w:val="18"/>
          <w:szCs w:val="18"/>
        </w:rPr>
        <w:t>、由于不可抗力、无法估值、巨额赎回等情形发生，管理人可按照基金合同、最新招募说明书等载明的规定暂停接受投资人的赎回申请，或者延缓支付赎回款项。敬请详细了解有关规定。</w:t>
      </w:r>
    </w:p>
    <w:p>
      <w:pPr>
        <w:rPr>
          <w:rFonts w:hint="eastAsia"/>
          <w:sz w:val="18"/>
          <w:szCs w:val="18"/>
        </w:rPr>
      </w:pPr>
    </w:p>
    <w:p>
      <w:pPr>
        <w:rPr>
          <w:b/>
          <w:bCs/>
          <w:sz w:val="18"/>
          <w:szCs w:val="18"/>
        </w:rPr>
      </w:pPr>
      <w:r>
        <w:rPr>
          <w:rFonts w:hint="eastAsia"/>
          <w:b/>
          <w:bCs/>
          <w:sz w:val="18"/>
          <w:szCs w:val="18"/>
        </w:rPr>
        <w:t xml:space="preserve">注意事项 </w:t>
      </w:r>
    </w:p>
    <w:p>
      <w:pPr>
        <w:rPr>
          <w:sz w:val="18"/>
          <w:szCs w:val="18"/>
        </w:rPr>
      </w:pPr>
      <w:r>
        <w:rPr>
          <w:rFonts w:hint="eastAsia"/>
          <w:sz w:val="18"/>
          <w:szCs w:val="18"/>
        </w:rPr>
        <w:t>1、</w:t>
      </w:r>
      <w:r>
        <w:rPr>
          <w:rFonts w:hint="eastAsia"/>
          <w:color w:val="auto"/>
          <w:sz w:val="18"/>
          <w:szCs w:val="18"/>
        </w:rPr>
        <w:t> 本申请表仅为投资人业务申请之用，不作为博时</w:t>
      </w:r>
      <w:r>
        <w:rPr>
          <w:rFonts w:hint="eastAsia"/>
          <w:color w:val="auto"/>
          <w:sz w:val="18"/>
          <w:szCs w:val="18"/>
          <w:lang w:val="en-US" w:eastAsia="zh-CN"/>
        </w:rPr>
        <w:t>财富</w:t>
      </w:r>
      <w:r>
        <w:rPr>
          <w:rFonts w:hint="eastAsia"/>
          <w:sz w:val="18"/>
          <w:szCs w:val="18"/>
        </w:rPr>
        <w:t>对该项业务的确认、收款凭证，不作为基金持有凭证。</w:t>
      </w:r>
    </w:p>
    <w:p>
      <w:pPr>
        <w:rPr>
          <w:rFonts w:hint="eastAsia"/>
          <w:sz w:val="18"/>
          <w:szCs w:val="18"/>
        </w:rPr>
      </w:pPr>
      <w:r>
        <w:rPr>
          <w:rFonts w:hint="eastAsia"/>
          <w:sz w:val="18"/>
          <w:szCs w:val="18"/>
        </w:rPr>
        <w:t>2、</w:t>
      </w:r>
      <w:r>
        <w:rPr>
          <w:sz w:val="18"/>
          <w:szCs w:val="18"/>
        </w:rPr>
        <w:t> </w:t>
      </w:r>
      <w:r>
        <w:rPr>
          <w:rFonts w:hint="eastAsia"/>
          <w:sz w:val="18"/>
          <w:szCs w:val="18"/>
        </w:rPr>
        <w:t>金额/份额的大小写须填写一致，如填写不一致则视为无效申请。</w:t>
      </w:r>
    </w:p>
    <w:p>
      <w:pPr>
        <w:numPr>
          <w:ilvl w:val="-1"/>
          <w:numId w:val="0"/>
        </w:numPr>
        <w:ind w:left="0" w:firstLine="0"/>
        <w:rPr>
          <w:sz w:val="18"/>
          <w:szCs w:val="18"/>
        </w:rPr>
      </w:pPr>
      <w:r>
        <w:rPr>
          <w:rFonts w:hint="eastAsia"/>
          <w:sz w:val="18"/>
          <w:szCs w:val="18"/>
          <w:lang w:val="en-US" w:eastAsia="zh-CN"/>
        </w:rPr>
        <w:t>3、</w:t>
      </w:r>
      <w:r>
        <w:rPr>
          <w:rFonts w:hint="eastAsia"/>
          <w:sz w:val="18"/>
          <w:szCs w:val="18"/>
        </w:rPr>
        <w:t>投资</w:t>
      </w:r>
      <w:r>
        <w:rPr>
          <w:rFonts w:hint="eastAsia"/>
          <w:sz w:val="18"/>
          <w:szCs w:val="18"/>
          <w:lang w:val="en-US" w:eastAsia="zh-CN"/>
        </w:rPr>
        <w:t>者</w:t>
      </w:r>
      <w:r>
        <w:rPr>
          <w:rFonts w:hint="eastAsia"/>
          <w:sz w:val="18"/>
          <w:szCs w:val="18"/>
        </w:rPr>
        <w:t>办理上述表单中各项业务的，除填写表单外，投资</w:t>
      </w:r>
      <w:r>
        <w:rPr>
          <w:rFonts w:hint="eastAsia"/>
          <w:sz w:val="18"/>
          <w:szCs w:val="18"/>
          <w:lang w:val="en-US" w:eastAsia="zh-CN"/>
        </w:rPr>
        <w:t>者</w:t>
      </w:r>
      <w:r>
        <w:rPr>
          <w:rFonts w:hint="eastAsia"/>
          <w:sz w:val="18"/>
          <w:szCs w:val="18"/>
        </w:rPr>
        <w:t>还应按照要求提供其他相关信息</w:t>
      </w:r>
      <w:r>
        <w:rPr>
          <w:rFonts w:hint="eastAsia"/>
          <w:sz w:val="18"/>
          <w:szCs w:val="18"/>
          <w:lang w:val="en-US" w:eastAsia="zh-CN"/>
        </w:rPr>
        <w:t>和资料</w:t>
      </w:r>
      <w:r>
        <w:rPr>
          <w:rFonts w:hint="eastAsia"/>
          <w:sz w:val="18"/>
          <w:szCs w:val="18"/>
        </w:rPr>
        <w:t>，否则，可能导致投资</w:t>
      </w:r>
      <w:r>
        <w:rPr>
          <w:rFonts w:hint="eastAsia"/>
          <w:sz w:val="18"/>
          <w:szCs w:val="18"/>
          <w:lang w:val="en-US" w:eastAsia="zh-CN"/>
        </w:rPr>
        <w:t>者</w:t>
      </w:r>
      <w:r>
        <w:rPr>
          <w:rFonts w:hint="eastAsia"/>
          <w:sz w:val="18"/>
          <w:szCs w:val="18"/>
        </w:rPr>
        <w:t>的相关申请无法予以办理或确认。</w:t>
      </w:r>
    </w:p>
    <w:p>
      <w:pPr>
        <w:numPr>
          <w:ilvl w:val="0"/>
          <w:numId w:val="0"/>
        </w:numPr>
        <w:rPr>
          <w:b w:val="0"/>
          <w:bCs w:val="0"/>
          <w:sz w:val="18"/>
          <w:szCs w:val="18"/>
        </w:rPr>
      </w:pPr>
      <w:r>
        <w:rPr>
          <w:rFonts w:hint="eastAsia"/>
          <w:b w:val="0"/>
          <w:bCs w:val="0"/>
          <w:sz w:val="18"/>
          <w:szCs w:val="18"/>
          <w:lang w:val="en-US" w:eastAsia="zh-CN"/>
        </w:rPr>
        <w:t>4、</w:t>
      </w:r>
      <w:r>
        <w:rPr>
          <w:rFonts w:hint="eastAsia"/>
          <w:b w:val="0"/>
          <w:bCs w:val="0"/>
          <w:sz w:val="18"/>
          <w:szCs w:val="18"/>
        </w:rPr>
        <w:t>申请单提交办理后，相关交易最终须由注册登记机构确认，</w:t>
      </w:r>
      <w:r>
        <w:rPr>
          <w:rFonts w:hint="eastAsia"/>
          <w:b w:val="0"/>
          <w:bCs w:val="0"/>
          <w:sz w:val="18"/>
          <w:szCs w:val="18"/>
          <w:lang w:val="en-US" w:eastAsia="zh-CN"/>
        </w:rPr>
        <w:t>博时财富</w:t>
      </w:r>
      <w:r>
        <w:rPr>
          <w:rFonts w:hint="eastAsia"/>
          <w:b w:val="0"/>
          <w:bCs w:val="0"/>
          <w:sz w:val="18"/>
          <w:szCs w:val="18"/>
        </w:rPr>
        <w:t>不承担确保交易成功之责任。</w:t>
      </w:r>
    </w:p>
    <w:p>
      <w:pPr>
        <w:rPr>
          <w:rFonts w:hint="eastAsia"/>
          <w:sz w:val="18"/>
          <w:szCs w:val="18"/>
        </w:rPr>
      </w:pPr>
      <w:r>
        <w:rPr>
          <w:rFonts w:hint="eastAsia"/>
          <w:sz w:val="18"/>
          <w:szCs w:val="18"/>
        </w:rPr>
        <w:t>5、投资者应当如实填写本表，如因投资者信息发生重大变化未及时告知</w:t>
      </w:r>
      <w:r>
        <w:rPr>
          <w:rFonts w:hint="eastAsia"/>
          <w:sz w:val="18"/>
          <w:szCs w:val="18"/>
          <w:lang w:val="en-US" w:eastAsia="zh-CN"/>
        </w:rPr>
        <w:t>博时财富</w:t>
      </w:r>
      <w:r>
        <w:rPr>
          <w:rFonts w:hint="eastAsia"/>
          <w:sz w:val="18"/>
          <w:szCs w:val="18"/>
        </w:rPr>
        <w:t>，导致投资者身份不符合相关法律、法规或合同约定的，或超出其风险承受能力投资的，由此产生的后果或法律责任，由投资者自行承担。</w:t>
      </w:r>
    </w:p>
    <w:p>
      <w:pPr>
        <w:rPr>
          <w:sz w:val="18"/>
          <w:szCs w:val="18"/>
        </w:rPr>
      </w:pPr>
      <w:r>
        <w:rPr>
          <w:rFonts w:hint="eastAsia"/>
          <w:sz w:val="18"/>
          <w:szCs w:val="18"/>
          <w:lang w:val="en-US" w:eastAsia="zh-CN"/>
        </w:rPr>
        <w:t>6、</w:t>
      </w:r>
      <w:r>
        <w:rPr>
          <w:rFonts w:hint="eastAsia"/>
          <w:sz w:val="18"/>
          <w:szCs w:val="18"/>
        </w:rPr>
        <w:t>请仔细阅读博时</w:t>
      </w:r>
      <w:r>
        <w:rPr>
          <w:rFonts w:hint="eastAsia"/>
          <w:sz w:val="18"/>
          <w:szCs w:val="18"/>
          <w:lang w:val="en-US" w:eastAsia="zh-CN"/>
        </w:rPr>
        <w:t>财富</w:t>
      </w:r>
      <w:r>
        <w:rPr>
          <w:rFonts w:hint="eastAsia"/>
          <w:sz w:val="18"/>
          <w:szCs w:val="18"/>
        </w:rPr>
        <w:t>公开发布的信息，如有疑问或希望获取更多信息或进行投诉，投资人可以拨打</w:t>
      </w:r>
      <w:r>
        <w:rPr>
          <w:rFonts w:hint="eastAsia"/>
          <w:sz w:val="18"/>
          <w:szCs w:val="18"/>
          <w:lang w:val="en-US" w:eastAsia="zh-CN"/>
        </w:rPr>
        <w:t>博时财富客服热线4006105568</w:t>
      </w:r>
      <w:r>
        <w:rPr>
          <w:rFonts w:hint="eastAsia"/>
          <w:sz w:val="18"/>
          <w:szCs w:val="18"/>
        </w:rPr>
        <w:t>或登录博时</w:t>
      </w:r>
      <w:r>
        <w:rPr>
          <w:rFonts w:hint="eastAsia"/>
          <w:sz w:val="18"/>
          <w:szCs w:val="18"/>
          <w:lang w:val="en-US" w:eastAsia="zh-CN"/>
        </w:rPr>
        <w:t>财富</w:t>
      </w:r>
      <w:r>
        <w:rPr>
          <w:rFonts w:hint="eastAsia"/>
          <w:sz w:val="18"/>
          <w:szCs w:val="18"/>
        </w:rPr>
        <w:t>网站</w:t>
      </w:r>
      <w:r>
        <w:rPr>
          <w:rFonts w:hint="eastAsia" w:ascii="Calibri" w:hAnsi="Calibri" w:eastAsia="宋体" w:cs="Times New Roman"/>
          <w:sz w:val="18"/>
          <w:szCs w:val="18"/>
        </w:rPr>
        <w:t>www.boserawealth.com</w:t>
      </w:r>
      <w:r>
        <w:rPr>
          <w:rFonts w:hint="eastAsia"/>
          <w:sz w:val="18"/>
          <w:szCs w:val="18"/>
        </w:rPr>
        <w:t>。</w:t>
      </w:r>
    </w:p>
    <w:p>
      <w:pPr>
        <w:rPr>
          <w:rFonts w:hint="eastAsia"/>
        </w:rPr>
      </w:pPr>
    </w:p>
    <w:p/>
    <w:sectPr>
      <w:headerReference r:id="rId3" w:type="default"/>
      <w:pgSz w:w="11906" w:h="16838"/>
      <w:pgMar w:top="454" w:right="720" w:bottom="454"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rPr>
        <w:rFonts w:hint="eastAsia" w:eastAsia="宋体"/>
        <w:lang w:eastAsia="zh-CN"/>
      </w:rPr>
    </w:pPr>
    <w:r>
      <w:rPr>
        <w:rFonts w:hint="eastAsia" w:eastAsia="宋体"/>
        <w:lang w:eastAsia="zh-CN"/>
      </w:rPr>
      <w:drawing>
        <wp:inline distT="0" distB="0" distL="114300" distR="114300">
          <wp:extent cx="1259205" cy="321310"/>
          <wp:effectExtent l="0" t="0" r="17145" b="254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259205" cy="321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5E0B01"/>
    <w:multiLevelType w:val="multilevel"/>
    <w:tmpl w:val="055E0B01"/>
    <w:lvl w:ilvl="0" w:tentative="0">
      <w:start w:val="1"/>
      <w:numFmt w:val="bullet"/>
      <w:lvlText w:val="★"/>
      <w:lvlJc w:val="left"/>
      <w:pPr>
        <w:ind w:left="420" w:hanging="420"/>
      </w:pPr>
      <w:rPr>
        <w:rFonts w:hint="eastAsia" w:ascii="楷体_GB2312" w:hAnsi="Times New Roman" w:eastAsia="楷体_GB2312"/>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5A6"/>
    <w:rsid w:val="000B7707"/>
    <w:rsid w:val="002C65A6"/>
    <w:rsid w:val="00320AF2"/>
    <w:rsid w:val="00364A00"/>
    <w:rsid w:val="0045397A"/>
    <w:rsid w:val="00543AAD"/>
    <w:rsid w:val="00606782"/>
    <w:rsid w:val="00912FA8"/>
    <w:rsid w:val="00DB73C2"/>
    <w:rsid w:val="00E80D52"/>
    <w:rsid w:val="01F56682"/>
    <w:rsid w:val="0236621F"/>
    <w:rsid w:val="02C331AA"/>
    <w:rsid w:val="03097346"/>
    <w:rsid w:val="035044E6"/>
    <w:rsid w:val="0468191E"/>
    <w:rsid w:val="048A074A"/>
    <w:rsid w:val="04922A31"/>
    <w:rsid w:val="06D11CEA"/>
    <w:rsid w:val="07791B65"/>
    <w:rsid w:val="08B96CFB"/>
    <w:rsid w:val="09A8119D"/>
    <w:rsid w:val="09BD191C"/>
    <w:rsid w:val="09F839C3"/>
    <w:rsid w:val="0AE24DBA"/>
    <w:rsid w:val="0B0C0A40"/>
    <w:rsid w:val="0CF579AC"/>
    <w:rsid w:val="0D780261"/>
    <w:rsid w:val="0E3048DF"/>
    <w:rsid w:val="0EB97127"/>
    <w:rsid w:val="0F247312"/>
    <w:rsid w:val="0F9A5CE0"/>
    <w:rsid w:val="106C73F5"/>
    <w:rsid w:val="11755779"/>
    <w:rsid w:val="14416ECB"/>
    <w:rsid w:val="17FA7F23"/>
    <w:rsid w:val="1827373A"/>
    <w:rsid w:val="18986682"/>
    <w:rsid w:val="19D747A7"/>
    <w:rsid w:val="19F7733A"/>
    <w:rsid w:val="1A756A68"/>
    <w:rsid w:val="1A9A2593"/>
    <w:rsid w:val="204B3464"/>
    <w:rsid w:val="242403B7"/>
    <w:rsid w:val="24654872"/>
    <w:rsid w:val="24EB4B8E"/>
    <w:rsid w:val="25D00EB9"/>
    <w:rsid w:val="294611B6"/>
    <w:rsid w:val="29CB499E"/>
    <w:rsid w:val="29CE3E7B"/>
    <w:rsid w:val="2A614E10"/>
    <w:rsid w:val="2B4123E1"/>
    <w:rsid w:val="2B7F4A92"/>
    <w:rsid w:val="2FE74568"/>
    <w:rsid w:val="301B6E90"/>
    <w:rsid w:val="30265989"/>
    <w:rsid w:val="34205B34"/>
    <w:rsid w:val="34545F94"/>
    <w:rsid w:val="34AA5207"/>
    <w:rsid w:val="34C362F3"/>
    <w:rsid w:val="36AB5636"/>
    <w:rsid w:val="37A723D6"/>
    <w:rsid w:val="38034381"/>
    <w:rsid w:val="382D448B"/>
    <w:rsid w:val="389445EC"/>
    <w:rsid w:val="3AF556E2"/>
    <w:rsid w:val="3BF55115"/>
    <w:rsid w:val="3C2E7692"/>
    <w:rsid w:val="3D1D1989"/>
    <w:rsid w:val="401F2591"/>
    <w:rsid w:val="40C11D22"/>
    <w:rsid w:val="41BA2E7D"/>
    <w:rsid w:val="43C2032B"/>
    <w:rsid w:val="44492A05"/>
    <w:rsid w:val="460638E0"/>
    <w:rsid w:val="46361349"/>
    <w:rsid w:val="46DB05C9"/>
    <w:rsid w:val="470C1BBA"/>
    <w:rsid w:val="49D95B33"/>
    <w:rsid w:val="4BDB5A2B"/>
    <w:rsid w:val="4C215C29"/>
    <w:rsid w:val="4D1B525E"/>
    <w:rsid w:val="4DD04BAA"/>
    <w:rsid w:val="4EA16D70"/>
    <w:rsid w:val="4EBA1E77"/>
    <w:rsid w:val="4F9A168D"/>
    <w:rsid w:val="52D07405"/>
    <w:rsid w:val="53BC64D9"/>
    <w:rsid w:val="549B3ACB"/>
    <w:rsid w:val="57242FA3"/>
    <w:rsid w:val="57585F68"/>
    <w:rsid w:val="589A7B3C"/>
    <w:rsid w:val="594A221B"/>
    <w:rsid w:val="5AA97433"/>
    <w:rsid w:val="5D9E5813"/>
    <w:rsid w:val="5EBA6AD0"/>
    <w:rsid w:val="5EFC0A67"/>
    <w:rsid w:val="5F536FB7"/>
    <w:rsid w:val="62141963"/>
    <w:rsid w:val="62AC2B0D"/>
    <w:rsid w:val="635A43A2"/>
    <w:rsid w:val="649A5258"/>
    <w:rsid w:val="64E82D0A"/>
    <w:rsid w:val="65AD37E6"/>
    <w:rsid w:val="66062F31"/>
    <w:rsid w:val="67D51840"/>
    <w:rsid w:val="67E930E2"/>
    <w:rsid w:val="68E9505E"/>
    <w:rsid w:val="6A7429B0"/>
    <w:rsid w:val="6B3D76DD"/>
    <w:rsid w:val="6BBB6FF3"/>
    <w:rsid w:val="6D0042E7"/>
    <w:rsid w:val="6D24595A"/>
    <w:rsid w:val="6D8C18E3"/>
    <w:rsid w:val="6DFB7783"/>
    <w:rsid w:val="6E05323D"/>
    <w:rsid w:val="6EEE5B41"/>
    <w:rsid w:val="6F034B3B"/>
    <w:rsid w:val="6FF07456"/>
    <w:rsid w:val="714938E7"/>
    <w:rsid w:val="71BA0C31"/>
    <w:rsid w:val="71C07456"/>
    <w:rsid w:val="721F098D"/>
    <w:rsid w:val="72C93121"/>
    <w:rsid w:val="744F0508"/>
    <w:rsid w:val="747A655B"/>
    <w:rsid w:val="74A72B58"/>
    <w:rsid w:val="7526633E"/>
    <w:rsid w:val="763C6FA6"/>
    <w:rsid w:val="763D7172"/>
    <w:rsid w:val="76A5794F"/>
    <w:rsid w:val="78640288"/>
    <w:rsid w:val="795616CF"/>
    <w:rsid w:val="7CD00D40"/>
    <w:rsid w:val="7E8E3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99"/>
    <w:pPr>
      <w:jc w:val="left"/>
    </w:pPr>
    <w:rPr>
      <w:rFonts w:ascii="Times New Roman" w:hAnsi="Times New Roman"/>
      <w:kern w:val="0"/>
      <w:sz w:val="20"/>
      <w:szCs w:val="24"/>
      <w:lang w:val="zh-CN" w:eastAsia="zh-CN"/>
    </w:rPr>
  </w:style>
  <w:style w:type="paragraph" w:styleId="3">
    <w:name w:val="Balloon Text"/>
    <w:basedOn w:val="1"/>
    <w:link w:val="14"/>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styleId="9">
    <w:name w:val="annotation reference"/>
    <w:qFormat/>
    <w:uiPriority w:val="99"/>
    <w:rPr>
      <w:sz w:val="21"/>
      <w:szCs w:val="21"/>
    </w:rPr>
  </w:style>
  <w:style w:type="character" w:customStyle="1" w:styleId="10">
    <w:name w:val="页眉 字符"/>
    <w:basedOn w:val="7"/>
    <w:link w:val="5"/>
    <w:qFormat/>
    <w:uiPriority w:val="99"/>
    <w:rPr>
      <w:sz w:val="18"/>
      <w:szCs w:val="18"/>
    </w:rPr>
  </w:style>
  <w:style w:type="character" w:customStyle="1" w:styleId="11">
    <w:name w:val="页脚 字符"/>
    <w:basedOn w:val="7"/>
    <w:link w:val="4"/>
    <w:qFormat/>
    <w:uiPriority w:val="99"/>
    <w:rPr>
      <w:sz w:val="18"/>
      <w:szCs w:val="18"/>
    </w:rPr>
  </w:style>
  <w:style w:type="character" w:customStyle="1" w:styleId="12">
    <w:name w:val="批注文字 字符"/>
    <w:basedOn w:val="7"/>
    <w:semiHidden/>
    <w:qFormat/>
    <w:uiPriority w:val="99"/>
    <w:rPr>
      <w:rFonts w:ascii="Calibri" w:hAnsi="Calibri" w:eastAsia="宋体" w:cs="Times New Roman"/>
    </w:rPr>
  </w:style>
  <w:style w:type="character" w:customStyle="1" w:styleId="13">
    <w:name w:val="批注文字 字符1"/>
    <w:link w:val="2"/>
    <w:qFormat/>
    <w:uiPriority w:val="99"/>
    <w:rPr>
      <w:rFonts w:ascii="Times New Roman" w:hAnsi="Times New Roman" w:eastAsia="宋体" w:cs="Times New Roman"/>
      <w:kern w:val="0"/>
      <w:sz w:val="20"/>
      <w:szCs w:val="24"/>
      <w:lang w:val="zh-CN" w:eastAsia="zh-CN"/>
    </w:rPr>
  </w:style>
  <w:style w:type="character" w:customStyle="1" w:styleId="14">
    <w:name w:val="批注框文本 字符"/>
    <w:basedOn w:val="7"/>
    <w:link w:val="3"/>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Pages>
  <Words>221</Words>
  <Characters>1262</Characters>
  <Lines>10</Lines>
  <Paragraphs>2</Paragraphs>
  <TotalTime>8</TotalTime>
  <ScaleCrop>false</ScaleCrop>
  <LinksUpToDate>false</LinksUpToDate>
  <CharactersWithSpaces>1481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2021-09-28T10:12:00Z</dcterms:created>
  <dc:creator>韩明亮</dc:creator>
  <cp:lastModifiedBy>gaom</cp:lastModifiedBy>
  <dcterms:modified xsi:type="dcterms:W3CDTF">2024-04-08T11:45:54Z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96EC13D163AE4A5E821B4E5CD3B82A37</vt:lpwstr>
  </property>
</Properties>
</file>